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DB22E" w14:textId="77777777" w:rsidR="00521ECC" w:rsidRPr="00521ECC" w:rsidRDefault="00521ECC" w:rsidP="00B23B43">
      <w:pPr>
        <w:spacing w:after="0" w:line="360" w:lineRule="auto"/>
        <w:jc w:val="center"/>
        <w:rPr>
          <w:rFonts w:ascii="Bookman Old Style" w:hAnsi="Bookman Old Style" w:cs="Estrangelo Edessa"/>
          <w:b/>
          <w:color w:val="000000"/>
          <w:sz w:val="28"/>
          <w:szCs w:val="28"/>
        </w:rPr>
      </w:pPr>
      <w:r w:rsidRPr="00521ECC">
        <w:rPr>
          <w:rFonts w:ascii="Bookman Old Style" w:hAnsi="Bookman Old Style" w:cs="Estrangelo Edessa"/>
          <w:b/>
          <w:color w:val="000000"/>
          <w:sz w:val="28"/>
          <w:szCs w:val="28"/>
        </w:rPr>
        <w:t>FRANCISCO TERNERA BARRIOS</w:t>
      </w:r>
    </w:p>
    <w:p w14:paraId="06E949FC" w14:textId="704C7FEA" w:rsidR="00521ECC" w:rsidRPr="00A17175" w:rsidRDefault="00521ECC" w:rsidP="00B23B43">
      <w:pPr>
        <w:spacing w:after="0" w:line="360" w:lineRule="auto"/>
        <w:jc w:val="center"/>
        <w:rPr>
          <w:rFonts w:ascii="Bookman Old Style" w:hAnsi="Bookman Old Style" w:cs="Estrangelo Edessa"/>
          <w:bCs/>
          <w:sz w:val="28"/>
          <w:szCs w:val="28"/>
        </w:rPr>
      </w:pPr>
      <w:r w:rsidRPr="00A17175">
        <w:rPr>
          <w:rFonts w:ascii="Bookman Old Style" w:hAnsi="Bookman Old Style" w:cs="Estrangelo Edessa"/>
          <w:bCs/>
          <w:sz w:val="28"/>
          <w:szCs w:val="28"/>
        </w:rPr>
        <w:t xml:space="preserve">Magistrado </w:t>
      </w:r>
      <w:r w:rsidR="00B23B43" w:rsidRPr="00A17175">
        <w:rPr>
          <w:rFonts w:ascii="Bookman Old Style" w:hAnsi="Bookman Old Style" w:cs="Estrangelo Edessa"/>
          <w:bCs/>
          <w:sz w:val="28"/>
          <w:szCs w:val="28"/>
        </w:rPr>
        <w:t>P</w:t>
      </w:r>
      <w:r w:rsidRPr="00A17175">
        <w:rPr>
          <w:rFonts w:ascii="Bookman Old Style" w:hAnsi="Bookman Old Style" w:cs="Estrangelo Edessa"/>
          <w:bCs/>
          <w:sz w:val="28"/>
          <w:szCs w:val="28"/>
        </w:rPr>
        <w:t>onent</w:t>
      </w:r>
      <w:r w:rsidR="00861911" w:rsidRPr="00A17175">
        <w:rPr>
          <w:rFonts w:ascii="Bookman Old Style" w:hAnsi="Bookman Old Style" w:cs="Estrangelo Edessa"/>
          <w:bCs/>
          <w:sz w:val="28"/>
          <w:szCs w:val="28"/>
        </w:rPr>
        <w:t>e</w:t>
      </w:r>
    </w:p>
    <w:p w14:paraId="470B7FC5" w14:textId="77777777" w:rsidR="003E4CD8" w:rsidRPr="00521ECC" w:rsidRDefault="003E4CD8" w:rsidP="00F92684">
      <w:pPr>
        <w:spacing w:after="0"/>
        <w:rPr>
          <w:rFonts w:cs="Estrangelo Edessa"/>
          <w:color w:val="000000"/>
          <w:sz w:val="28"/>
          <w:szCs w:val="28"/>
        </w:rPr>
      </w:pPr>
    </w:p>
    <w:p w14:paraId="1741F931" w14:textId="5DB0E915" w:rsidR="00521ECC" w:rsidRPr="00521ECC" w:rsidRDefault="00A750D3" w:rsidP="00F92684">
      <w:pPr>
        <w:spacing w:after="0"/>
        <w:jc w:val="center"/>
        <w:rPr>
          <w:rFonts w:ascii="Bookman Old Style" w:hAnsi="Bookman Old Style" w:cs="Estrangelo Edessa"/>
          <w:color w:val="000000"/>
          <w:sz w:val="28"/>
          <w:szCs w:val="28"/>
        </w:rPr>
      </w:pPr>
      <w:r w:rsidRPr="00A750D3">
        <w:rPr>
          <w:rFonts w:ascii="Bookman Old Style" w:hAnsi="Bookman Old Style" w:cs="Estrangelo Edessa"/>
          <w:b/>
          <w:color w:val="000000"/>
          <w:sz w:val="28"/>
          <w:szCs w:val="28"/>
        </w:rPr>
        <w:t>SC088-2023</w:t>
      </w:r>
    </w:p>
    <w:p w14:paraId="59019BA0" w14:textId="550E772E" w:rsidR="001639DB" w:rsidRPr="004F1D1F" w:rsidRDefault="001639DB" w:rsidP="001E0ACB">
      <w:pPr>
        <w:tabs>
          <w:tab w:val="left" w:pos="-720"/>
          <w:tab w:val="left" w:pos="2268"/>
        </w:tabs>
        <w:suppressAutoHyphens/>
        <w:spacing w:after="0" w:line="360" w:lineRule="auto"/>
        <w:jc w:val="center"/>
        <w:rPr>
          <w:rFonts w:ascii="Bookman Old Style" w:hAnsi="Bookman Old Style"/>
          <w:b/>
          <w:sz w:val="28"/>
          <w:szCs w:val="28"/>
          <w:lang w:val="es-ES_tradnl"/>
        </w:rPr>
      </w:pPr>
      <w:r w:rsidRPr="004F1D1F">
        <w:rPr>
          <w:rFonts w:ascii="Bookman Old Style" w:hAnsi="Bookman Old Style"/>
          <w:b/>
          <w:sz w:val="28"/>
          <w:szCs w:val="28"/>
          <w:lang w:val="es-ES_tradnl"/>
        </w:rPr>
        <w:t xml:space="preserve">Radicación </w:t>
      </w:r>
      <w:proofErr w:type="spellStart"/>
      <w:r w:rsidR="00D040FD" w:rsidRPr="004F1D1F">
        <w:rPr>
          <w:rFonts w:ascii="Bookman Old Style" w:hAnsi="Bookman Old Style"/>
          <w:b/>
          <w:sz w:val="28"/>
          <w:szCs w:val="28"/>
          <w:lang w:val="es-ES_tradnl"/>
        </w:rPr>
        <w:t>n.°</w:t>
      </w:r>
      <w:proofErr w:type="spellEnd"/>
      <w:r w:rsidRPr="004F1D1F">
        <w:rPr>
          <w:rFonts w:ascii="Bookman Old Style" w:hAnsi="Bookman Old Style"/>
          <w:b/>
          <w:sz w:val="28"/>
          <w:szCs w:val="28"/>
          <w:lang w:val="es-ES_tradnl"/>
        </w:rPr>
        <w:t xml:space="preserve"> </w:t>
      </w:r>
      <w:r w:rsidR="004D7461" w:rsidRPr="004D7461">
        <w:rPr>
          <w:rFonts w:ascii="Bookman Old Style" w:hAnsi="Bookman Old Style"/>
          <w:b/>
          <w:sz w:val="28"/>
          <w:szCs w:val="28"/>
          <w:lang w:val="es-ES_tradnl"/>
        </w:rPr>
        <w:t>11001</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31</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03</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004</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2016</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00099</w:t>
      </w:r>
      <w:r w:rsidR="004D7461">
        <w:rPr>
          <w:rFonts w:ascii="Bookman Old Style" w:hAnsi="Bookman Old Style"/>
          <w:b/>
          <w:sz w:val="28"/>
          <w:szCs w:val="28"/>
          <w:lang w:val="es-ES_tradnl"/>
        </w:rPr>
        <w:t>-</w:t>
      </w:r>
      <w:r w:rsidR="004D7461" w:rsidRPr="004D7461">
        <w:rPr>
          <w:rFonts w:ascii="Bookman Old Style" w:hAnsi="Bookman Old Style"/>
          <w:b/>
          <w:sz w:val="28"/>
          <w:szCs w:val="28"/>
          <w:lang w:val="es-ES_tradnl"/>
        </w:rPr>
        <w:t>0</w:t>
      </w:r>
      <w:r w:rsidR="00062AE0">
        <w:rPr>
          <w:rFonts w:ascii="Bookman Old Style" w:hAnsi="Bookman Old Style"/>
          <w:b/>
          <w:sz w:val="28"/>
          <w:szCs w:val="28"/>
          <w:lang w:val="es-ES_tradnl"/>
        </w:rPr>
        <w:t>1</w:t>
      </w:r>
    </w:p>
    <w:p w14:paraId="2DBC2643" w14:textId="7BCFC52F" w:rsidR="00911A93" w:rsidRPr="003E4CD8" w:rsidRDefault="00911A93" w:rsidP="00F92684">
      <w:pPr>
        <w:overflowPunct w:val="0"/>
        <w:autoSpaceDE w:val="0"/>
        <w:autoSpaceDN w:val="0"/>
        <w:adjustRightInd w:val="0"/>
        <w:spacing w:after="0" w:line="360" w:lineRule="auto"/>
        <w:jc w:val="center"/>
        <w:rPr>
          <w:rFonts w:ascii="Bookman Old Style" w:hAnsi="Bookman Old Style"/>
          <w:color w:val="000000"/>
          <w:sz w:val="24"/>
          <w:szCs w:val="24"/>
        </w:rPr>
      </w:pPr>
      <w:bookmarkStart w:id="0" w:name="_Hlk52125519"/>
      <w:r w:rsidRPr="003E4CD8">
        <w:rPr>
          <w:rFonts w:ascii="Bookman Old Style" w:hAnsi="Bookman Old Style"/>
          <w:color w:val="000000"/>
          <w:sz w:val="24"/>
          <w:szCs w:val="24"/>
        </w:rPr>
        <w:t xml:space="preserve">(Aprobado en sesión de </w:t>
      </w:r>
      <w:r w:rsidR="00263C29">
        <w:rPr>
          <w:rFonts w:ascii="Bookman Old Style" w:hAnsi="Bookman Old Style"/>
          <w:color w:val="000000"/>
          <w:sz w:val="24"/>
          <w:szCs w:val="24"/>
        </w:rPr>
        <w:t>dos de marzo</w:t>
      </w:r>
      <w:r w:rsidR="003E4CD8">
        <w:rPr>
          <w:rFonts w:ascii="Bookman Old Style" w:hAnsi="Bookman Old Style"/>
          <w:color w:val="000000"/>
          <w:sz w:val="24"/>
          <w:szCs w:val="24"/>
        </w:rPr>
        <w:t xml:space="preserve"> de dos mil </w:t>
      </w:r>
      <w:r w:rsidR="00C96277">
        <w:rPr>
          <w:rFonts w:ascii="Bookman Old Style" w:hAnsi="Bookman Old Style"/>
          <w:color w:val="000000"/>
          <w:sz w:val="24"/>
          <w:szCs w:val="24"/>
        </w:rPr>
        <w:t>veintitrés</w:t>
      </w:r>
      <w:r w:rsidR="003E4CD8">
        <w:rPr>
          <w:rFonts w:ascii="Bookman Old Style" w:hAnsi="Bookman Old Style"/>
          <w:color w:val="000000"/>
          <w:sz w:val="24"/>
          <w:szCs w:val="24"/>
        </w:rPr>
        <w:t>)</w:t>
      </w:r>
    </w:p>
    <w:bookmarkEnd w:id="0"/>
    <w:p w14:paraId="2614A9B7" w14:textId="77777777" w:rsidR="001639DB" w:rsidRPr="00D649A7" w:rsidRDefault="001639DB" w:rsidP="00F92684">
      <w:pPr>
        <w:tabs>
          <w:tab w:val="left" w:pos="-720"/>
          <w:tab w:val="left" w:pos="2268"/>
        </w:tabs>
        <w:suppressAutoHyphens/>
        <w:spacing w:after="0" w:line="360" w:lineRule="auto"/>
        <w:jc w:val="both"/>
        <w:rPr>
          <w:rFonts w:ascii="Bookman Old Style" w:hAnsi="Bookman Old Style"/>
          <w:sz w:val="28"/>
          <w:szCs w:val="28"/>
        </w:rPr>
      </w:pPr>
    </w:p>
    <w:p w14:paraId="03992582" w14:textId="72814099" w:rsidR="00E92759" w:rsidRPr="0017009D" w:rsidRDefault="0017009D" w:rsidP="00F92684">
      <w:pPr>
        <w:tabs>
          <w:tab w:val="left" w:pos="-720"/>
          <w:tab w:val="left" w:pos="2268"/>
        </w:tabs>
        <w:suppressAutoHyphens/>
        <w:spacing w:after="0" w:line="360" w:lineRule="auto"/>
        <w:ind w:firstLine="709"/>
        <w:jc w:val="both"/>
        <w:rPr>
          <w:rFonts w:ascii="Bookman Old Style" w:hAnsi="Bookman Old Style"/>
          <w:sz w:val="28"/>
          <w:szCs w:val="28"/>
          <w:lang w:val="es-ES"/>
        </w:rPr>
      </w:pPr>
      <w:r w:rsidRPr="0017009D">
        <w:rPr>
          <w:rFonts w:ascii="Bookman Old Style" w:hAnsi="Bookman Old Style" w:cs="Estrangelo Edessa"/>
          <w:color w:val="000000" w:themeColor="text1"/>
          <w:sz w:val="28"/>
          <w:szCs w:val="28"/>
          <w:lang w:val="es-ES"/>
        </w:rPr>
        <w:t xml:space="preserve">Bogotá D.C., </w:t>
      </w:r>
      <w:r w:rsidR="00381393">
        <w:rPr>
          <w:rFonts w:ascii="Bookman Old Style" w:hAnsi="Bookman Old Style" w:cs="Estrangelo Edessa"/>
          <w:color w:val="000000" w:themeColor="text1"/>
          <w:sz w:val="28"/>
          <w:szCs w:val="28"/>
          <w:lang w:val="es-ES"/>
        </w:rPr>
        <w:t>quince</w:t>
      </w:r>
      <w:r w:rsidRPr="0017009D">
        <w:rPr>
          <w:rFonts w:ascii="Bookman Old Style" w:hAnsi="Bookman Old Style" w:cs="Estrangelo Edessa"/>
          <w:color w:val="000000" w:themeColor="text1"/>
          <w:sz w:val="28"/>
          <w:szCs w:val="28"/>
          <w:lang w:val="es-ES"/>
        </w:rPr>
        <w:t xml:space="preserve"> (</w:t>
      </w:r>
      <w:r w:rsidR="00381393">
        <w:rPr>
          <w:rFonts w:ascii="Bookman Old Style" w:hAnsi="Bookman Old Style" w:cs="Estrangelo Edessa"/>
          <w:color w:val="000000" w:themeColor="text1"/>
          <w:sz w:val="28"/>
          <w:szCs w:val="28"/>
          <w:lang w:val="es-ES"/>
        </w:rPr>
        <w:t>15</w:t>
      </w:r>
      <w:r w:rsidRPr="0017009D">
        <w:rPr>
          <w:rFonts w:ascii="Bookman Old Style" w:hAnsi="Bookman Old Style" w:cs="Estrangelo Edessa"/>
          <w:color w:val="000000" w:themeColor="text1"/>
          <w:sz w:val="28"/>
          <w:szCs w:val="28"/>
          <w:lang w:val="es-ES"/>
        </w:rPr>
        <w:t xml:space="preserve">) de </w:t>
      </w:r>
      <w:r w:rsidR="00381393">
        <w:rPr>
          <w:rFonts w:ascii="Bookman Old Style" w:hAnsi="Bookman Old Style" w:cs="Estrangelo Edessa"/>
          <w:color w:val="000000" w:themeColor="text1"/>
          <w:sz w:val="28"/>
          <w:szCs w:val="28"/>
          <w:lang w:val="es-ES"/>
        </w:rPr>
        <w:t>mayo</w:t>
      </w:r>
      <w:r w:rsidRPr="0017009D">
        <w:rPr>
          <w:rFonts w:ascii="Bookman Old Style" w:hAnsi="Bookman Old Style" w:cs="Estrangelo Edessa"/>
          <w:color w:val="000000" w:themeColor="text1"/>
          <w:sz w:val="28"/>
          <w:szCs w:val="28"/>
          <w:lang w:val="es-ES"/>
        </w:rPr>
        <w:t xml:space="preserve"> de dos mil veintitrés (2023).</w:t>
      </w:r>
    </w:p>
    <w:p w14:paraId="2CDDAB59" w14:textId="77777777" w:rsidR="001639DB" w:rsidRPr="004F1D1F" w:rsidRDefault="001639DB" w:rsidP="00F92684">
      <w:pPr>
        <w:tabs>
          <w:tab w:val="left" w:pos="-720"/>
          <w:tab w:val="left" w:pos="2268"/>
        </w:tabs>
        <w:suppressAutoHyphens/>
        <w:spacing w:after="0" w:line="360" w:lineRule="auto"/>
        <w:jc w:val="both"/>
        <w:outlineLvl w:val="0"/>
        <w:rPr>
          <w:rFonts w:ascii="Bookman Old Style" w:hAnsi="Bookman Old Style"/>
          <w:sz w:val="28"/>
          <w:szCs w:val="28"/>
          <w:lang w:val="es-ES_tradnl"/>
        </w:rPr>
      </w:pPr>
    </w:p>
    <w:p w14:paraId="4F033F96" w14:textId="16E9E576" w:rsidR="001639DB" w:rsidRDefault="001639DB" w:rsidP="00F92684">
      <w:pPr>
        <w:spacing w:after="0" w:line="360" w:lineRule="auto"/>
        <w:ind w:firstLine="709"/>
        <w:jc w:val="both"/>
        <w:rPr>
          <w:rFonts w:ascii="Bookman Old Style" w:hAnsi="Bookman Old Style"/>
          <w:sz w:val="28"/>
          <w:szCs w:val="28"/>
          <w:lang w:val="es-ES_tradnl"/>
        </w:rPr>
      </w:pPr>
      <w:r w:rsidRPr="004F1D1F">
        <w:rPr>
          <w:rFonts w:ascii="Bookman Old Style" w:hAnsi="Bookman Old Style"/>
          <w:sz w:val="28"/>
          <w:szCs w:val="28"/>
          <w:lang w:val="es-ES_tradnl"/>
        </w:rPr>
        <w:t xml:space="preserve">Procede la Corte a resolver el recurso de casación interpuesto </w:t>
      </w:r>
      <w:r w:rsidR="00141302">
        <w:rPr>
          <w:rFonts w:ascii="Bookman Old Style" w:hAnsi="Bookman Old Style"/>
          <w:sz w:val="28"/>
          <w:szCs w:val="28"/>
          <w:lang w:val="es-ES_tradnl"/>
        </w:rPr>
        <w:t xml:space="preserve">por Global Seguros de Vida S.A. </w:t>
      </w:r>
      <w:r w:rsidR="00995315">
        <w:rPr>
          <w:rFonts w:ascii="Bookman Old Style" w:hAnsi="Bookman Old Style"/>
          <w:sz w:val="28"/>
          <w:szCs w:val="28"/>
          <w:lang w:val="es-ES_tradnl"/>
        </w:rPr>
        <w:t>contra</w:t>
      </w:r>
      <w:r w:rsidRPr="004F1D1F">
        <w:rPr>
          <w:rFonts w:ascii="Bookman Old Style" w:hAnsi="Bookman Old Style"/>
          <w:sz w:val="28"/>
          <w:szCs w:val="28"/>
          <w:lang w:val="es-ES_tradnl"/>
        </w:rPr>
        <w:t xml:space="preserve"> la sentencia </w:t>
      </w:r>
      <w:r w:rsidR="009E0D65">
        <w:rPr>
          <w:rFonts w:ascii="Bookman Old Style" w:hAnsi="Bookman Old Style"/>
          <w:sz w:val="28"/>
          <w:szCs w:val="28"/>
          <w:lang w:val="es-ES_tradnl"/>
        </w:rPr>
        <w:t>d</w:t>
      </w:r>
      <w:r w:rsidR="009E0D65" w:rsidRPr="004F1D1F">
        <w:rPr>
          <w:rFonts w:ascii="Bookman Old Style" w:hAnsi="Bookman Old Style"/>
          <w:sz w:val="28"/>
          <w:szCs w:val="28"/>
          <w:lang w:val="es-ES_tradnl"/>
        </w:rPr>
        <w:t xml:space="preserve">el </w:t>
      </w:r>
      <w:r w:rsidR="00141302" w:rsidRPr="005A1AD1">
        <w:rPr>
          <w:rFonts w:ascii="Bookman Old Style" w:hAnsi="Bookman Old Style"/>
          <w:sz w:val="28"/>
          <w:szCs w:val="28"/>
          <w:lang w:val="es-ES_tradnl"/>
        </w:rPr>
        <w:t>2</w:t>
      </w:r>
      <w:r w:rsidR="002F1E30" w:rsidRPr="005A1AD1">
        <w:rPr>
          <w:rFonts w:ascii="Bookman Old Style" w:hAnsi="Bookman Old Style"/>
          <w:sz w:val="28"/>
          <w:szCs w:val="28"/>
          <w:lang w:val="es-ES_tradnl"/>
        </w:rPr>
        <w:t>8</w:t>
      </w:r>
      <w:r w:rsidR="002B1ED8" w:rsidRPr="00BC63E8">
        <w:rPr>
          <w:rFonts w:ascii="Bookman Old Style" w:hAnsi="Bookman Old Style"/>
          <w:color w:val="FF0000"/>
          <w:sz w:val="28"/>
          <w:szCs w:val="28"/>
          <w:lang w:val="es-ES_tradnl"/>
        </w:rPr>
        <w:t xml:space="preserve"> </w:t>
      </w:r>
      <w:r w:rsidR="009E0D65" w:rsidRPr="004F1D1F">
        <w:rPr>
          <w:rFonts w:ascii="Bookman Old Style" w:hAnsi="Bookman Old Style"/>
          <w:sz w:val="28"/>
          <w:szCs w:val="28"/>
          <w:lang w:val="es-ES_tradnl"/>
        </w:rPr>
        <w:t xml:space="preserve">de </w:t>
      </w:r>
      <w:r w:rsidR="00141302">
        <w:rPr>
          <w:rFonts w:ascii="Bookman Old Style" w:hAnsi="Bookman Old Style"/>
          <w:sz w:val="28"/>
          <w:szCs w:val="28"/>
          <w:lang w:val="es-ES_tradnl"/>
        </w:rPr>
        <w:t>febrero</w:t>
      </w:r>
      <w:r w:rsidR="009E0D65" w:rsidRPr="004F1D1F">
        <w:rPr>
          <w:rFonts w:ascii="Bookman Old Style" w:hAnsi="Bookman Old Style"/>
          <w:sz w:val="28"/>
          <w:szCs w:val="28"/>
          <w:lang w:val="es-ES_tradnl"/>
        </w:rPr>
        <w:t xml:space="preserve"> de </w:t>
      </w:r>
      <w:r w:rsidR="002F1E30" w:rsidRPr="005A1AD1">
        <w:rPr>
          <w:rFonts w:ascii="Bookman Old Style" w:hAnsi="Bookman Old Style"/>
          <w:sz w:val="28"/>
          <w:szCs w:val="28"/>
          <w:lang w:val="es-ES_tradnl"/>
        </w:rPr>
        <w:t>2018</w:t>
      </w:r>
      <w:r w:rsidR="009E0D65">
        <w:rPr>
          <w:rFonts w:ascii="Bookman Old Style" w:hAnsi="Bookman Old Style"/>
          <w:sz w:val="28"/>
          <w:szCs w:val="28"/>
          <w:lang w:val="es-ES_tradnl"/>
        </w:rPr>
        <w:t xml:space="preserve">, </w:t>
      </w:r>
      <w:r w:rsidRPr="004F1D1F">
        <w:rPr>
          <w:rFonts w:ascii="Bookman Old Style" w:hAnsi="Bookman Old Style"/>
          <w:sz w:val="28"/>
          <w:szCs w:val="28"/>
          <w:lang w:val="es-ES_tradnl"/>
        </w:rPr>
        <w:t xml:space="preserve">proferida por la Sala Civil del </w:t>
      </w:r>
      <w:r w:rsidR="00161C4A">
        <w:rPr>
          <w:rFonts w:ascii="Bookman Old Style" w:hAnsi="Bookman Old Style"/>
          <w:sz w:val="28"/>
          <w:szCs w:val="28"/>
          <w:lang w:val="es-ES_tradnl"/>
        </w:rPr>
        <w:t>Tribunal</w:t>
      </w:r>
      <w:r w:rsidRPr="004F1D1F">
        <w:rPr>
          <w:rFonts w:ascii="Bookman Old Style" w:hAnsi="Bookman Old Style"/>
          <w:sz w:val="28"/>
          <w:szCs w:val="28"/>
          <w:lang w:val="es-ES_tradnl"/>
        </w:rPr>
        <w:t xml:space="preserve"> Superior del Distrito Judicial de </w:t>
      </w:r>
      <w:r w:rsidR="004F1D1F" w:rsidRPr="004F1D1F">
        <w:rPr>
          <w:rFonts w:ascii="Bookman Old Style" w:hAnsi="Bookman Old Style"/>
          <w:sz w:val="28"/>
          <w:szCs w:val="28"/>
          <w:lang w:val="es-ES_tradnl"/>
        </w:rPr>
        <w:t>Bogotá</w:t>
      </w:r>
      <w:r w:rsidRPr="004F1D1F">
        <w:rPr>
          <w:rFonts w:ascii="Bookman Old Style" w:hAnsi="Bookman Old Style"/>
          <w:sz w:val="28"/>
          <w:szCs w:val="28"/>
          <w:lang w:val="es-ES_tradnl"/>
        </w:rPr>
        <w:t>, en el proceso ordinario que</w:t>
      </w:r>
      <w:r w:rsidR="00141302">
        <w:rPr>
          <w:rFonts w:ascii="Bookman Old Style" w:hAnsi="Bookman Old Style"/>
          <w:sz w:val="28"/>
          <w:szCs w:val="28"/>
          <w:lang w:val="es-ES_tradnl"/>
        </w:rPr>
        <w:t xml:space="preserve"> promovió el señor José Chafic Aljure Caicedo contra la recurrente. </w:t>
      </w:r>
    </w:p>
    <w:p w14:paraId="4AAB4E8F" w14:textId="77777777" w:rsidR="00695331" w:rsidRPr="00283C5E" w:rsidRDefault="00695331" w:rsidP="00F92684">
      <w:pPr>
        <w:pStyle w:val="Sinespaciado"/>
        <w:spacing w:line="360" w:lineRule="auto"/>
        <w:ind w:firstLine="709"/>
        <w:jc w:val="center"/>
        <w:rPr>
          <w:rFonts w:ascii="Bookman Old Style" w:hAnsi="Bookman Old Style" w:cs="Arial"/>
          <w:sz w:val="28"/>
          <w:szCs w:val="28"/>
        </w:rPr>
      </w:pPr>
    </w:p>
    <w:p w14:paraId="28F1A176" w14:textId="33E9BE07" w:rsidR="00C875FB" w:rsidRPr="004F1D1F" w:rsidRDefault="00497D48" w:rsidP="0017009D">
      <w:pPr>
        <w:pStyle w:val="Sinespaciado"/>
        <w:numPr>
          <w:ilvl w:val="0"/>
          <w:numId w:val="23"/>
        </w:numPr>
        <w:spacing w:line="360" w:lineRule="auto"/>
        <w:ind w:left="0" w:firstLine="0"/>
        <w:jc w:val="center"/>
        <w:rPr>
          <w:rFonts w:ascii="Bookman Old Style" w:hAnsi="Bookman Old Style" w:cs="Arial"/>
          <w:b/>
          <w:sz w:val="28"/>
          <w:szCs w:val="28"/>
        </w:rPr>
      </w:pPr>
      <w:r w:rsidRPr="004F1D1F">
        <w:rPr>
          <w:rFonts w:ascii="Bookman Old Style" w:hAnsi="Bookman Old Style" w:cs="Arial"/>
          <w:b/>
          <w:sz w:val="28"/>
          <w:szCs w:val="28"/>
        </w:rPr>
        <w:t>ANTECEDENTES</w:t>
      </w:r>
    </w:p>
    <w:p w14:paraId="58CBF9B7" w14:textId="77777777" w:rsidR="001D273C" w:rsidRPr="004F1D1F" w:rsidRDefault="001D273C" w:rsidP="00F92684">
      <w:pPr>
        <w:pStyle w:val="Sinespaciado"/>
        <w:spacing w:line="360" w:lineRule="auto"/>
        <w:ind w:firstLine="709"/>
        <w:jc w:val="both"/>
        <w:rPr>
          <w:rFonts w:ascii="Bookman Old Style" w:hAnsi="Bookman Old Style" w:cs="Arial"/>
          <w:sz w:val="28"/>
          <w:szCs w:val="28"/>
        </w:rPr>
      </w:pPr>
    </w:p>
    <w:p w14:paraId="171B9FB2" w14:textId="4E9491AC" w:rsidR="000661BB" w:rsidRPr="007F36B2" w:rsidRDefault="006F39C9" w:rsidP="00F92684">
      <w:pPr>
        <w:pStyle w:val="Sinespaciado"/>
        <w:spacing w:line="360" w:lineRule="auto"/>
        <w:ind w:firstLine="709"/>
        <w:jc w:val="both"/>
        <w:rPr>
          <w:rFonts w:ascii="Bookman Old Style" w:hAnsi="Bookman Old Style" w:cs="Arial"/>
          <w:sz w:val="28"/>
          <w:szCs w:val="28"/>
        </w:rPr>
      </w:pPr>
      <w:r w:rsidRPr="004F1D1F">
        <w:rPr>
          <w:rFonts w:ascii="Bookman Old Style" w:hAnsi="Bookman Old Style" w:cs="Arial"/>
          <w:sz w:val="28"/>
          <w:szCs w:val="28"/>
        </w:rPr>
        <w:t xml:space="preserve">1. </w:t>
      </w:r>
      <w:r w:rsidR="0059145F">
        <w:rPr>
          <w:rFonts w:ascii="Bookman Old Style" w:hAnsi="Bookman Old Style" w:cs="Arial"/>
          <w:sz w:val="28"/>
          <w:szCs w:val="28"/>
        </w:rPr>
        <w:t>El</w:t>
      </w:r>
      <w:r w:rsidRPr="004F1D1F">
        <w:rPr>
          <w:rFonts w:ascii="Bookman Old Style" w:hAnsi="Bookman Old Style" w:cs="Arial"/>
          <w:sz w:val="28"/>
          <w:szCs w:val="28"/>
        </w:rPr>
        <w:t xml:space="preserve"> </w:t>
      </w:r>
      <w:r w:rsidR="0059145F">
        <w:rPr>
          <w:rFonts w:ascii="Bookman Old Style" w:hAnsi="Bookman Old Style" w:cs="Arial"/>
          <w:sz w:val="28"/>
          <w:szCs w:val="28"/>
        </w:rPr>
        <w:t xml:space="preserve">actor solicitó que se declare civilmente responsable a Global Seguros de Vida S.A. por el incumplimiento del contrato </w:t>
      </w:r>
      <w:r w:rsidR="007F36B2">
        <w:rPr>
          <w:rFonts w:ascii="Bookman Old Style" w:hAnsi="Bookman Old Style" w:cs="Arial"/>
          <w:sz w:val="28"/>
          <w:szCs w:val="28"/>
        </w:rPr>
        <w:t>de «</w:t>
      </w:r>
      <w:r w:rsidR="007F36B2" w:rsidRPr="007F36B2">
        <w:rPr>
          <w:rFonts w:ascii="Bookman Old Style" w:hAnsi="Bookman Old Style" w:cs="Arial"/>
          <w:i/>
          <w:sz w:val="24"/>
          <w:szCs w:val="28"/>
        </w:rPr>
        <w:t>Seguro de Vida Renta Dorada</w:t>
      </w:r>
      <w:r w:rsidR="007F36B2">
        <w:rPr>
          <w:rFonts w:ascii="Bookman Old Style" w:hAnsi="Bookman Old Style" w:cs="Arial"/>
          <w:sz w:val="28"/>
          <w:szCs w:val="28"/>
        </w:rPr>
        <w:t>»</w:t>
      </w:r>
      <w:r w:rsidR="0059145F">
        <w:rPr>
          <w:rFonts w:ascii="Bookman Old Style" w:hAnsi="Bookman Old Style" w:cs="Arial"/>
          <w:sz w:val="28"/>
          <w:szCs w:val="28"/>
        </w:rPr>
        <w:t xml:space="preserve">, consignado en la póliza </w:t>
      </w:r>
      <w:r w:rsidR="0042115D" w:rsidRPr="00F4096D">
        <w:rPr>
          <w:rFonts w:ascii="Bookman Old Style" w:hAnsi="Bookman Old Style"/>
          <w:bCs/>
          <w:sz w:val="28"/>
          <w:szCs w:val="28"/>
          <w:lang w:val="es-ES_tradnl"/>
        </w:rPr>
        <w:t>n.°</w:t>
      </w:r>
      <w:r w:rsidR="00F4096D">
        <w:rPr>
          <w:rFonts w:ascii="Bookman Old Style" w:hAnsi="Bookman Old Style"/>
          <w:bCs/>
          <w:sz w:val="28"/>
          <w:szCs w:val="28"/>
          <w:lang w:val="es-ES_tradnl"/>
        </w:rPr>
        <w:t xml:space="preserve"> </w:t>
      </w:r>
      <w:r w:rsidR="0059145F" w:rsidRPr="002B1ED8">
        <w:rPr>
          <w:rFonts w:ascii="Bookman Old Style" w:hAnsi="Bookman Old Style" w:cs="Arial"/>
          <w:sz w:val="28"/>
          <w:szCs w:val="28"/>
        </w:rPr>
        <w:t xml:space="preserve">1783 </w:t>
      </w:r>
      <w:r w:rsidR="007F36B2">
        <w:rPr>
          <w:rFonts w:ascii="Bookman Old Style" w:hAnsi="Bookman Old Style" w:cs="Arial"/>
          <w:sz w:val="28"/>
          <w:szCs w:val="28"/>
        </w:rPr>
        <w:t>del</w:t>
      </w:r>
      <w:r w:rsidR="0059145F">
        <w:rPr>
          <w:rFonts w:ascii="Bookman Old Style" w:hAnsi="Bookman Old Style" w:cs="Arial"/>
          <w:sz w:val="28"/>
          <w:szCs w:val="28"/>
        </w:rPr>
        <w:t xml:space="preserve"> 5 de marzo de 1997. Ello por cuanto esta fue </w:t>
      </w:r>
      <w:r w:rsidR="00294E6C">
        <w:rPr>
          <w:rFonts w:ascii="Bookman Old Style" w:hAnsi="Bookman Old Style" w:cs="Arial"/>
          <w:sz w:val="28"/>
          <w:szCs w:val="28"/>
        </w:rPr>
        <w:t>terminada</w:t>
      </w:r>
      <w:r w:rsidR="0059145F">
        <w:rPr>
          <w:rFonts w:ascii="Bookman Old Style" w:hAnsi="Bookman Old Style" w:cs="Arial"/>
          <w:sz w:val="28"/>
          <w:szCs w:val="28"/>
        </w:rPr>
        <w:t xml:space="preserve"> unilateralmente en marzo de 2015 por la demandada</w:t>
      </w:r>
      <w:r w:rsidR="00DC04CB">
        <w:rPr>
          <w:rFonts w:ascii="Bookman Old Style" w:hAnsi="Bookman Old Style" w:cs="Arial"/>
          <w:sz w:val="28"/>
          <w:szCs w:val="28"/>
        </w:rPr>
        <w:t>,</w:t>
      </w:r>
      <w:r w:rsidR="0059145F">
        <w:rPr>
          <w:rFonts w:ascii="Bookman Old Style" w:hAnsi="Bookman Old Style" w:cs="Arial"/>
          <w:sz w:val="28"/>
          <w:szCs w:val="28"/>
        </w:rPr>
        <w:t xml:space="preserve"> con el propósito de no mantener la cobertura de riesgo, pese a que se pagó la totalidad del valor de la prima. </w:t>
      </w:r>
      <w:r w:rsidR="007F36B2">
        <w:rPr>
          <w:rFonts w:ascii="Bookman Old Style" w:hAnsi="Bookman Old Style" w:cs="Arial"/>
          <w:sz w:val="28"/>
          <w:szCs w:val="28"/>
        </w:rPr>
        <w:lastRenderedPageBreak/>
        <w:t xml:space="preserve">En consecuencia, instó a que se ordene a la convocada a mantener la vigencia de la referida póliza </w:t>
      </w:r>
      <w:r w:rsidR="007F36B2" w:rsidRPr="00F4096D">
        <w:rPr>
          <w:rFonts w:ascii="Bookman Old Style" w:hAnsi="Bookman Old Style" w:cs="Arial"/>
          <w:sz w:val="28"/>
          <w:szCs w:val="28"/>
        </w:rPr>
        <w:t>«</w:t>
      </w:r>
      <w:r w:rsidR="007F36B2" w:rsidRPr="00F4096D">
        <w:rPr>
          <w:rFonts w:ascii="Bookman Old Style" w:hAnsi="Bookman Old Style" w:cs="Arial"/>
          <w:i/>
          <w:sz w:val="24"/>
          <w:szCs w:val="28"/>
        </w:rPr>
        <w:t>en las mismas condiciones generales y amparos allí establecidos como en sus modificaciones, esto es, quedar asegurado hasta la edad de 80 años, por haber cancelado la prima en ocho (8) pagos anuales, según el plan escogido y acordado al momento de suscribir el contrato de seguro</w:t>
      </w:r>
      <w:r w:rsidR="007F36B2" w:rsidRPr="00F4096D">
        <w:rPr>
          <w:rFonts w:ascii="Bookman Old Style" w:hAnsi="Bookman Old Style" w:cs="Arial"/>
          <w:sz w:val="28"/>
          <w:szCs w:val="28"/>
        </w:rPr>
        <w:t>».</w:t>
      </w:r>
      <w:r w:rsidR="00BE2586">
        <w:rPr>
          <w:rFonts w:ascii="Bookman Old Style" w:hAnsi="Bookman Old Style" w:cs="Arial"/>
          <w:sz w:val="28"/>
          <w:szCs w:val="28"/>
        </w:rPr>
        <w:t xml:space="preserve"> </w:t>
      </w:r>
    </w:p>
    <w:p w14:paraId="62738E35" w14:textId="77777777" w:rsidR="005C4591" w:rsidRDefault="005C4591" w:rsidP="00F92684">
      <w:pPr>
        <w:pStyle w:val="Sinespaciado"/>
        <w:spacing w:line="360" w:lineRule="auto"/>
        <w:jc w:val="both"/>
        <w:rPr>
          <w:rFonts w:ascii="Bookman Old Style" w:hAnsi="Bookman Old Style" w:cs="Arial"/>
          <w:sz w:val="28"/>
          <w:szCs w:val="28"/>
        </w:rPr>
      </w:pPr>
    </w:p>
    <w:p w14:paraId="06236CA3" w14:textId="4085E1F2" w:rsidR="000661BB" w:rsidRDefault="000661BB" w:rsidP="00F92684">
      <w:pPr>
        <w:spacing w:after="0" w:line="360" w:lineRule="auto"/>
        <w:ind w:firstLine="709"/>
        <w:jc w:val="both"/>
        <w:rPr>
          <w:rFonts w:ascii="Bookman Old Style" w:hAnsi="Bookman Old Style"/>
          <w:sz w:val="28"/>
          <w:szCs w:val="28"/>
          <w:lang w:eastAsia="es-ES"/>
        </w:rPr>
      </w:pPr>
      <w:r>
        <w:rPr>
          <w:rFonts w:ascii="Bookman Old Style" w:hAnsi="Bookman Old Style" w:cs="Arial"/>
          <w:sz w:val="28"/>
          <w:szCs w:val="28"/>
        </w:rPr>
        <w:t xml:space="preserve">2. </w:t>
      </w:r>
      <w:r>
        <w:rPr>
          <w:rFonts w:ascii="Bookman Old Style" w:hAnsi="Bookman Old Style"/>
          <w:sz w:val="28"/>
          <w:szCs w:val="28"/>
        </w:rPr>
        <w:t>Como soporte fáctico</w:t>
      </w:r>
      <w:r w:rsidR="00414B2C">
        <w:rPr>
          <w:rFonts w:ascii="Bookman Old Style" w:hAnsi="Bookman Old Style"/>
          <w:sz w:val="28"/>
          <w:szCs w:val="28"/>
        </w:rPr>
        <w:t>,</w:t>
      </w:r>
      <w:r>
        <w:rPr>
          <w:rFonts w:ascii="Bookman Old Style" w:hAnsi="Bookman Old Style"/>
          <w:sz w:val="28"/>
          <w:szCs w:val="28"/>
        </w:rPr>
        <w:t xml:space="preserve"> </w:t>
      </w:r>
      <w:r w:rsidR="00414B2C">
        <w:rPr>
          <w:rFonts w:ascii="Bookman Old Style" w:hAnsi="Bookman Old Style"/>
          <w:sz w:val="28"/>
          <w:szCs w:val="28"/>
        </w:rPr>
        <w:t xml:space="preserve">se </w:t>
      </w:r>
      <w:r>
        <w:rPr>
          <w:rFonts w:ascii="Bookman Old Style" w:hAnsi="Bookman Old Style"/>
          <w:sz w:val="28"/>
          <w:szCs w:val="28"/>
        </w:rPr>
        <w:t xml:space="preserve">adujeron los hechos </w:t>
      </w:r>
      <w:r w:rsidR="00EF71F9">
        <w:rPr>
          <w:rFonts w:ascii="Bookman Old Style" w:hAnsi="Bookman Old Style"/>
          <w:sz w:val="28"/>
          <w:szCs w:val="28"/>
        </w:rPr>
        <w:t xml:space="preserve">relevantes </w:t>
      </w:r>
      <w:r>
        <w:rPr>
          <w:rFonts w:ascii="Bookman Old Style" w:hAnsi="Bookman Old Style"/>
          <w:sz w:val="28"/>
          <w:szCs w:val="28"/>
        </w:rPr>
        <w:t>que admiten el siguiente compendio</w:t>
      </w:r>
      <w:r w:rsidR="001E3CAD" w:rsidRPr="005A1AD1">
        <w:rPr>
          <w:rFonts w:ascii="Bookman Old Style" w:hAnsi="Bookman Old Style"/>
          <w:sz w:val="28"/>
          <w:szCs w:val="28"/>
        </w:rPr>
        <w:t>:</w:t>
      </w:r>
    </w:p>
    <w:p w14:paraId="180B537A" w14:textId="77777777" w:rsidR="000661BB" w:rsidRDefault="000661BB" w:rsidP="00F92684">
      <w:pPr>
        <w:spacing w:after="0" w:line="360" w:lineRule="auto"/>
        <w:ind w:firstLine="709"/>
        <w:jc w:val="both"/>
        <w:rPr>
          <w:rFonts w:ascii="Bookman Old Style" w:hAnsi="Bookman Old Style"/>
          <w:sz w:val="28"/>
          <w:szCs w:val="28"/>
        </w:rPr>
      </w:pPr>
    </w:p>
    <w:p w14:paraId="058E33E2" w14:textId="7330BB25" w:rsidR="000661BB" w:rsidRPr="000649CB" w:rsidRDefault="000661BB" w:rsidP="00F92684">
      <w:pPr>
        <w:pStyle w:val="Sinespaciado"/>
        <w:spacing w:line="360" w:lineRule="auto"/>
        <w:ind w:firstLine="709"/>
        <w:jc w:val="both"/>
        <w:rPr>
          <w:rFonts w:ascii="Bookman Old Style" w:hAnsi="Bookman Old Style" w:cs="Arial"/>
          <w:b/>
          <w:bCs/>
          <w:sz w:val="28"/>
          <w:szCs w:val="28"/>
        </w:rPr>
      </w:pPr>
      <w:r>
        <w:rPr>
          <w:rFonts w:ascii="Bookman Old Style" w:hAnsi="Bookman Old Style"/>
          <w:sz w:val="28"/>
          <w:szCs w:val="28"/>
        </w:rPr>
        <w:t xml:space="preserve">2.1. </w:t>
      </w:r>
      <w:r w:rsidR="007F36B2">
        <w:rPr>
          <w:rFonts w:ascii="Bookman Old Style" w:hAnsi="Bookman Old Style"/>
          <w:sz w:val="28"/>
          <w:szCs w:val="28"/>
        </w:rPr>
        <w:t xml:space="preserve">Seguros Fénix de Vida S.A. expidió póliza </w:t>
      </w:r>
      <w:r w:rsidR="001E3CAD" w:rsidRPr="005A1AD1">
        <w:rPr>
          <w:rFonts w:ascii="Bookman Old Style" w:hAnsi="Bookman Old Style"/>
          <w:sz w:val="28"/>
          <w:szCs w:val="28"/>
        </w:rPr>
        <w:t>núm</w:t>
      </w:r>
      <w:r w:rsidR="007F36B2" w:rsidRPr="005A1AD1">
        <w:rPr>
          <w:rFonts w:ascii="Bookman Old Style" w:hAnsi="Bookman Old Style"/>
          <w:sz w:val="28"/>
          <w:szCs w:val="28"/>
        </w:rPr>
        <w:t xml:space="preserve">. </w:t>
      </w:r>
      <w:r w:rsidR="007F36B2">
        <w:rPr>
          <w:rFonts w:ascii="Bookman Old Style" w:hAnsi="Bookman Old Style"/>
          <w:sz w:val="28"/>
          <w:szCs w:val="28"/>
        </w:rPr>
        <w:t>1783 del 5 de marzo de 1997, a solicitud del demandante, por el valor asegurado inicial de $20.000.000</w:t>
      </w:r>
      <w:r w:rsidR="007F36B2" w:rsidRPr="007F36B2">
        <w:rPr>
          <w:rFonts w:ascii="Bookman Old Style" w:hAnsi="Bookman Old Style"/>
          <w:sz w:val="24"/>
          <w:szCs w:val="28"/>
        </w:rPr>
        <w:t xml:space="preserve">, </w:t>
      </w:r>
      <w:r w:rsidR="007F36B2" w:rsidRPr="00F4096D">
        <w:rPr>
          <w:rFonts w:ascii="Bookman Old Style" w:hAnsi="Bookman Old Style"/>
          <w:sz w:val="24"/>
          <w:szCs w:val="28"/>
        </w:rPr>
        <w:t>«</w:t>
      </w:r>
      <w:r w:rsidR="007F36B2" w:rsidRPr="00F4096D">
        <w:rPr>
          <w:rFonts w:ascii="Bookman Old Style" w:hAnsi="Bookman Old Style"/>
          <w:i/>
          <w:sz w:val="24"/>
          <w:szCs w:val="28"/>
        </w:rPr>
        <w:t>con incremento anual del valor asegurado del 20% y permanente anual de 8 años</w:t>
      </w:r>
      <w:r w:rsidR="007F36B2" w:rsidRPr="00F4096D">
        <w:rPr>
          <w:rFonts w:ascii="Bookman Old Style" w:hAnsi="Bookman Old Style"/>
          <w:sz w:val="28"/>
          <w:szCs w:val="28"/>
        </w:rPr>
        <w:t>». Al amparo básico se adicionaron los siguientes: «</w:t>
      </w:r>
      <w:r w:rsidR="007F36B2" w:rsidRPr="00F4096D">
        <w:rPr>
          <w:rFonts w:ascii="Bookman Old Style" w:hAnsi="Bookman Old Style"/>
          <w:i/>
          <w:sz w:val="24"/>
          <w:szCs w:val="28"/>
        </w:rPr>
        <w:t>indemnización adicional por muerte accidental, invalidez total y permanente, y enfermedades graves</w:t>
      </w:r>
      <w:r w:rsidR="007F36B2" w:rsidRPr="00F4096D">
        <w:rPr>
          <w:rFonts w:ascii="Bookman Old Style" w:hAnsi="Bookman Old Style"/>
          <w:sz w:val="28"/>
          <w:szCs w:val="28"/>
        </w:rPr>
        <w:t>».</w:t>
      </w:r>
    </w:p>
    <w:p w14:paraId="3B69204C" w14:textId="77777777" w:rsidR="002247C5" w:rsidRDefault="002247C5" w:rsidP="00F92684">
      <w:pPr>
        <w:pStyle w:val="Sinespaciado"/>
        <w:spacing w:line="360" w:lineRule="auto"/>
        <w:ind w:firstLine="709"/>
        <w:jc w:val="both"/>
        <w:rPr>
          <w:rFonts w:ascii="Bookman Old Style" w:hAnsi="Bookman Old Style" w:cs="Arial"/>
          <w:sz w:val="28"/>
          <w:szCs w:val="28"/>
        </w:rPr>
      </w:pPr>
    </w:p>
    <w:p w14:paraId="4B08CA1E" w14:textId="184E81CC" w:rsidR="002247C5" w:rsidRDefault="002247C5"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2.</w:t>
      </w:r>
      <w:r w:rsidR="00EF71F9">
        <w:rPr>
          <w:rFonts w:ascii="Bookman Old Style" w:hAnsi="Bookman Old Style" w:cs="Arial"/>
          <w:sz w:val="28"/>
          <w:szCs w:val="28"/>
        </w:rPr>
        <w:t>2</w:t>
      </w:r>
      <w:r>
        <w:rPr>
          <w:rFonts w:ascii="Bookman Old Style" w:hAnsi="Bookman Old Style" w:cs="Arial"/>
          <w:sz w:val="28"/>
          <w:szCs w:val="28"/>
        </w:rPr>
        <w:t xml:space="preserve">. </w:t>
      </w:r>
      <w:r w:rsidR="00EB1A43">
        <w:rPr>
          <w:rFonts w:ascii="Bookman Old Style" w:hAnsi="Bookman Old Style" w:cs="Arial"/>
          <w:sz w:val="28"/>
          <w:szCs w:val="28"/>
        </w:rPr>
        <w:t>Aseveró que</w:t>
      </w:r>
      <w:r w:rsidR="00BD4E85">
        <w:rPr>
          <w:rFonts w:ascii="Bookman Old Style" w:hAnsi="Bookman Old Style" w:cs="Arial"/>
          <w:sz w:val="28"/>
          <w:szCs w:val="28"/>
        </w:rPr>
        <w:t xml:space="preserve"> </w:t>
      </w:r>
      <w:r w:rsidR="00EB1A43">
        <w:rPr>
          <w:rFonts w:ascii="Bookman Old Style" w:hAnsi="Bookman Old Style" w:cs="Arial"/>
          <w:sz w:val="28"/>
          <w:szCs w:val="28"/>
        </w:rPr>
        <w:t xml:space="preserve">el contrato celebrado correspondía a </w:t>
      </w:r>
      <w:r w:rsidR="00EB1A43" w:rsidRPr="00F4096D">
        <w:rPr>
          <w:rFonts w:ascii="Bookman Old Style" w:hAnsi="Bookman Old Style" w:cs="Arial"/>
          <w:sz w:val="28"/>
          <w:szCs w:val="28"/>
        </w:rPr>
        <w:t>«</w:t>
      </w:r>
      <w:r w:rsidR="00EB1A43" w:rsidRPr="00F4096D">
        <w:rPr>
          <w:rFonts w:ascii="Bookman Old Style" w:hAnsi="Bookman Old Style" w:cs="Arial"/>
          <w:i/>
          <w:sz w:val="24"/>
          <w:szCs w:val="28"/>
        </w:rPr>
        <w:t>un seguro temporal a cuatro (4) años, renovable automáticamente por periodos de cuatro (4) años hasta la edad de ochenta (80) años, con generación de valores de cesión o de rescate, desde el segundo año de vigencia del mismo, sin que se hubiese pactado con el componente de "participación" ni con una prima exclusiva de "ahorro", a pesar de haberse hecho referencia de los mismos</w:t>
      </w:r>
      <w:r w:rsidR="00EB1A43" w:rsidRPr="00F4096D">
        <w:rPr>
          <w:rFonts w:ascii="Bookman Old Style" w:hAnsi="Bookman Old Style" w:cs="Arial"/>
          <w:sz w:val="28"/>
          <w:szCs w:val="28"/>
        </w:rPr>
        <w:t>».</w:t>
      </w:r>
      <w:r w:rsidR="003715D1">
        <w:rPr>
          <w:rFonts w:ascii="Bookman Old Style" w:hAnsi="Bookman Old Style" w:cs="Arial"/>
          <w:sz w:val="28"/>
          <w:szCs w:val="28"/>
        </w:rPr>
        <w:t xml:space="preserve"> </w:t>
      </w:r>
      <w:r w:rsidR="003715D1" w:rsidRPr="001E3CAD">
        <w:rPr>
          <w:rFonts w:ascii="Bookman Old Style" w:hAnsi="Bookman Old Style" w:cs="Arial"/>
          <w:sz w:val="28"/>
          <w:szCs w:val="28"/>
        </w:rPr>
        <w:t>En ese sentido, indicó que la póliza fue concebida para ser</w:t>
      </w:r>
      <w:r w:rsidR="006E251E" w:rsidRPr="001E3CAD">
        <w:rPr>
          <w:rFonts w:ascii="Bookman Old Style" w:hAnsi="Bookman Old Style" w:cs="Arial"/>
          <w:color w:val="FF0000"/>
          <w:sz w:val="28"/>
          <w:szCs w:val="28"/>
        </w:rPr>
        <w:t xml:space="preserve"> </w:t>
      </w:r>
      <w:r w:rsidR="006E251E" w:rsidRPr="001E3CAD">
        <w:rPr>
          <w:rFonts w:ascii="Bookman Old Style" w:hAnsi="Bookman Old Style" w:cs="Arial"/>
          <w:sz w:val="28"/>
          <w:szCs w:val="28"/>
        </w:rPr>
        <w:t>pagada</w:t>
      </w:r>
      <w:r w:rsidR="003715D1" w:rsidRPr="001E3CAD">
        <w:rPr>
          <w:rFonts w:ascii="Bookman Old Style" w:hAnsi="Bookman Old Style" w:cs="Arial"/>
          <w:sz w:val="28"/>
          <w:szCs w:val="28"/>
        </w:rPr>
        <w:t xml:space="preserve"> en ocho </w:t>
      </w:r>
      <w:r w:rsidR="006E251E" w:rsidRPr="001E3CAD">
        <w:rPr>
          <w:rFonts w:ascii="Bookman Old Style" w:hAnsi="Bookman Old Style" w:cs="Arial"/>
          <w:sz w:val="28"/>
          <w:szCs w:val="28"/>
        </w:rPr>
        <w:t>instalamentos</w:t>
      </w:r>
      <w:r w:rsidR="003715D1" w:rsidRPr="001E3CAD">
        <w:rPr>
          <w:rFonts w:ascii="Bookman Old Style" w:hAnsi="Bookman Old Style" w:cs="Arial"/>
          <w:sz w:val="28"/>
          <w:szCs w:val="28"/>
        </w:rPr>
        <w:t xml:space="preserve"> anuales, </w:t>
      </w:r>
      <w:r w:rsidR="006E251E" w:rsidRPr="001E3CAD">
        <w:rPr>
          <w:rFonts w:ascii="Bookman Old Style" w:hAnsi="Bookman Old Style" w:cs="Arial"/>
          <w:sz w:val="28"/>
          <w:szCs w:val="28"/>
        </w:rPr>
        <w:t>que</w:t>
      </w:r>
      <w:r w:rsidR="003715D1" w:rsidRPr="001E3CAD">
        <w:rPr>
          <w:rFonts w:ascii="Bookman Old Style" w:hAnsi="Bookman Old Style" w:cs="Arial"/>
          <w:sz w:val="28"/>
          <w:szCs w:val="28"/>
        </w:rPr>
        <w:t xml:space="preserve"> fueron </w:t>
      </w:r>
      <w:r w:rsidR="001E3CAD" w:rsidRPr="005A1AD1">
        <w:rPr>
          <w:rFonts w:ascii="Bookman Old Style" w:hAnsi="Bookman Old Style" w:cs="Arial"/>
          <w:sz w:val="28"/>
          <w:szCs w:val="28"/>
        </w:rPr>
        <w:t>sufragados</w:t>
      </w:r>
      <w:r w:rsidR="003715D1" w:rsidRPr="001E3CAD">
        <w:rPr>
          <w:rFonts w:ascii="Bookman Old Style" w:hAnsi="Bookman Old Style" w:cs="Arial"/>
          <w:color w:val="FF0000"/>
          <w:sz w:val="28"/>
          <w:szCs w:val="28"/>
        </w:rPr>
        <w:t xml:space="preserve"> </w:t>
      </w:r>
      <w:r w:rsidR="003715D1" w:rsidRPr="001E3CAD">
        <w:rPr>
          <w:rFonts w:ascii="Bookman Old Style" w:hAnsi="Bookman Old Style" w:cs="Arial"/>
          <w:sz w:val="28"/>
          <w:szCs w:val="28"/>
        </w:rPr>
        <w:t>en su totalidad por el señor</w:t>
      </w:r>
      <w:r w:rsidR="003715D1">
        <w:rPr>
          <w:rFonts w:ascii="Bookman Old Style" w:hAnsi="Bookman Old Style" w:cs="Arial"/>
          <w:sz w:val="28"/>
          <w:szCs w:val="28"/>
        </w:rPr>
        <w:t xml:space="preserve"> Aljure. Así pues, </w:t>
      </w:r>
      <w:r w:rsidR="00294E6C">
        <w:rPr>
          <w:rFonts w:ascii="Bookman Old Style" w:hAnsi="Bookman Old Style" w:cs="Arial"/>
          <w:sz w:val="28"/>
          <w:szCs w:val="28"/>
        </w:rPr>
        <w:t>estim</w:t>
      </w:r>
      <w:r w:rsidR="003715D1">
        <w:rPr>
          <w:rFonts w:ascii="Bookman Old Style" w:hAnsi="Bookman Old Style" w:cs="Arial"/>
          <w:sz w:val="28"/>
          <w:szCs w:val="28"/>
        </w:rPr>
        <w:t xml:space="preserve">ó </w:t>
      </w:r>
      <w:r w:rsidR="003715D1" w:rsidRPr="00F4096D">
        <w:rPr>
          <w:rFonts w:ascii="Bookman Old Style" w:hAnsi="Bookman Old Style" w:cs="Arial"/>
          <w:sz w:val="28"/>
          <w:szCs w:val="28"/>
        </w:rPr>
        <w:t>que «</w:t>
      </w:r>
      <w:r w:rsidR="003715D1" w:rsidRPr="00F4096D">
        <w:rPr>
          <w:rFonts w:ascii="Bookman Old Style" w:hAnsi="Bookman Old Style" w:cs="Arial"/>
          <w:i/>
          <w:sz w:val="24"/>
          <w:szCs w:val="28"/>
        </w:rPr>
        <w:t xml:space="preserve">una vez cancelada la última prima de seguro en el año ocho, se presumía que este en calidad de tomador y asegurado, quedaba amparado hasta la </w:t>
      </w:r>
      <w:r w:rsidR="003715D1" w:rsidRPr="00F4096D">
        <w:rPr>
          <w:rFonts w:ascii="Bookman Old Style" w:hAnsi="Bookman Old Style" w:cs="Arial"/>
          <w:i/>
          <w:sz w:val="24"/>
          <w:szCs w:val="28"/>
        </w:rPr>
        <w:lastRenderedPageBreak/>
        <w:t>edad de 80 años, pudiendo disponer, en vida de los valores de cesión o de rescate hasta los 78 años de edad</w:t>
      </w:r>
      <w:r w:rsidR="003715D1" w:rsidRPr="00F4096D">
        <w:rPr>
          <w:rFonts w:ascii="Bookman Old Style" w:hAnsi="Bookman Old Style" w:cs="Arial"/>
          <w:sz w:val="28"/>
          <w:szCs w:val="28"/>
        </w:rPr>
        <w:t>».</w:t>
      </w:r>
    </w:p>
    <w:p w14:paraId="2B3EB7D1" w14:textId="77777777" w:rsidR="002247C5" w:rsidRDefault="002247C5" w:rsidP="00F92684">
      <w:pPr>
        <w:pStyle w:val="Sinespaciado"/>
        <w:spacing w:line="360" w:lineRule="auto"/>
        <w:jc w:val="both"/>
        <w:rPr>
          <w:rFonts w:ascii="Bookman Old Style" w:hAnsi="Bookman Old Style" w:cs="Arial"/>
          <w:sz w:val="28"/>
          <w:szCs w:val="28"/>
        </w:rPr>
      </w:pPr>
    </w:p>
    <w:p w14:paraId="75715161" w14:textId="057E4D65" w:rsidR="00EF71F9" w:rsidRPr="00BF2C1C" w:rsidRDefault="00EF71F9" w:rsidP="00A46E6B">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2.3. </w:t>
      </w:r>
      <w:r w:rsidR="003715D1">
        <w:rPr>
          <w:rFonts w:ascii="Bookman Old Style" w:hAnsi="Bookman Old Style" w:cs="Arial"/>
          <w:sz w:val="28"/>
          <w:szCs w:val="28"/>
        </w:rPr>
        <w:t xml:space="preserve">El 17 de noviembre de 2006, Royal &amp; Sun Alliance Seguros de Vida Colombia S.A. –antes Seguros Fénix de Vida S.A.- comunicó al convocante la necesidad de </w:t>
      </w:r>
      <w:r w:rsidR="00DD48DA">
        <w:rPr>
          <w:rFonts w:ascii="Bookman Old Style" w:hAnsi="Bookman Old Style" w:cs="Arial"/>
          <w:sz w:val="28"/>
          <w:szCs w:val="28"/>
        </w:rPr>
        <w:t>variar a</w:t>
      </w:r>
      <w:r w:rsidR="003715D1">
        <w:rPr>
          <w:rFonts w:ascii="Bookman Old Style" w:hAnsi="Bookman Old Style" w:cs="Arial"/>
          <w:sz w:val="28"/>
          <w:szCs w:val="28"/>
        </w:rPr>
        <w:t xml:space="preserve"> otro plan de seguro</w:t>
      </w:r>
      <w:r w:rsidR="00DC04CB">
        <w:rPr>
          <w:rFonts w:ascii="Bookman Old Style" w:hAnsi="Bookman Old Style" w:cs="Arial"/>
          <w:sz w:val="28"/>
          <w:szCs w:val="28"/>
        </w:rPr>
        <w:t>,</w:t>
      </w:r>
      <w:r w:rsidR="003715D1">
        <w:rPr>
          <w:rFonts w:ascii="Bookman Old Style" w:hAnsi="Bookman Old Style" w:cs="Arial"/>
          <w:sz w:val="28"/>
          <w:szCs w:val="28"/>
        </w:rPr>
        <w:t xml:space="preserve"> pues «</w:t>
      </w:r>
      <w:r w:rsidR="003715D1" w:rsidRPr="00F4096D">
        <w:rPr>
          <w:rFonts w:ascii="Bookman Old Style" w:hAnsi="Bookman Old Style" w:cs="Arial"/>
          <w:i/>
          <w:sz w:val="24"/>
          <w:szCs w:val="28"/>
        </w:rPr>
        <w:t>supuestamente de seguir bajo las condiciones pactadas inicialmente el fondo se agotaría y se haría imposible el pago de la prima anual, con lo cual la protección terminaría, estimando con fecha del agotamiento para mayo de 2014</w:t>
      </w:r>
      <w:r w:rsidR="003715D1" w:rsidRPr="00F4096D">
        <w:rPr>
          <w:rFonts w:ascii="Bookman Old Style" w:hAnsi="Bookman Old Style" w:cs="Arial"/>
          <w:sz w:val="28"/>
          <w:szCs w:val="28"/>
        </w:rPr>
        <w:t>».</w:t>
      </w:r>
      <w:r w:rsidR="001C5E3E">
        <w:rPr>
          <w:rFonts w:ascii="Bookman Old Style" w:hAnsi="Bookman Old Style" w:cs="Arial"/>
          <w:sz w:val="28"/>
          <w:szCs w:val="28"/>
        </w:rPr>
        <w:t xml:space="preserve"> </w:t>
      </w:r>
      <w:r w:rsidR="00DC04CB">
        <w:rPr>
          <w:rFonts w:ascii="Bookman Old Style" w:hAnsi="Bookman Old Style" w:cs="Arial"/>
          <w:sz w:val="28"/>
          <w:szCs w:val="28"/>
        </w:rPr>
        <w:t>E</w:t>
      </w:r>
      <w:r w:rsidR="001C5E3E">
        <w:rPr>
          <w:rFonts w:ascii="Bookman Old Style" w:hAnsi="Bookman Old Style" w:cs="Arial"/>
          <w:sz w:val="28"/>
          <w:szCs w:val="28"/>
        </w:rPr>
        <w:t>l 21 de diciembre del mismo año, el señor José Chafic manifestó no acogerse al nuevo plan ofrecido.</w:t>
      </w:r>
      <w:r w:rsidR="00A46E6B">
        <w:rPr>
          <w:rFonts w:ascii="Bookman Old Style" w:hAnsi="Bookman Old Style" w:cs="Arial"/>
          <w:sz w:val="28"/>
          <w:szCs w:val="28"/>
        </w:rPr>
        <w:t xml:space="preserve"> </w:t>
      </w:r>
      <w:r w:rsidR="00BF2C1C">
        <w:rPr>
          <w:rFonts w:ascii="Bookman Old Style" w:hAnsi="Bookman Old Style" w:cs="Arial"/>
          <w:sz w:val="28"/>
          <w:szCs w:val="28"/>
        </w:rPr>
        <w:t>Pese a lo anterior, el 1 de julio del 2015, la aseguradora informó al demandante que su póliza había sido cancelada desde el mes de marzo del 2015. Aseveró que lo anterior se debió al agotamiento de las reservas que se constituyeron para cumplir con el pago de las primas. Más tarde, en documento adiado a 6 de agosto de</w:t>
      </w:r>
      <w:r w:rsidR="001B4824">
        <w:rPr>
          <w:rFonts w:ascii="Bookman Old Style" w:hAnsi="Bookman Old Style" w:cs="Arial"/>
          <w:sz w:val="28"/>
          <w:szCs w:val="28"/>
        </w:rPr>
        <w:t xml:space="preserve">l </w:t>
      </w:r>
      <w:r w:rsidR="001B4824" w:rsidRPr="00A17175">
        <w:rPr>
          <w:rFonts w:ascii="Bookman Old Style" w:hAnsi="Bookman Old Style" w:cs="Arial"/>
          <w:sz w:val="28"/>
          <w:szCs w:val="28"/>
        </w:rPr>
        <w:t>mismo año</w:t>
      </w:r>
      <w:r w:rsidR="00BF2C1C">
        <w:rPr>
          <w:rFonts w:ascii="Bookman Old Style" w:hAnsi="Bookman Old Style" w:cs="Arial"/>
          <w:sz w:val="28"/>
          <w:szCs w:val="28"/>
        </w:rPr>
        <w:t>, la entidad financiera concluyó que «</w:t>
      </w:r>
      <w:r w:rsidR="00BF2C1C" w:rsidRPr="00BF2C1C">
        <w:rPr>
          <w:rFonts w:ascii="Bookman Old Style" w:hAnsi="Bookman Old Style" w:cs="Arial"/>
          <w:i/>
          <w:sz w:val="24"/>
          <w:szCs w:val="28"/>
        </w:rPr>
        <w:t>en atención a la falta de pago de la prima de protección, ante la extinción de los valores de rescate acumulados en la póliza durante su vigencia, lo anterior debido a las condiciones del mercado, ajenas a la Aseguradora</w:t>
      </w:r>
      <w:r w:rsidR="00BF2C1C">
        <w:rPr>
          <w:rFonts w:ascii="Bookman Old Style" w:hAnsi="Bookman Old Style" w:cs="Arial"/>
          <w:sz w:val="28"/>
          <w:szCs w:val="28"/>
        </w:rPr>
        <w:t>».</w:t>
      </w:r>
    </w:p>
    <w:p w14:paraId="50AD87DA" w14:textId="537AD8A3" w:rsidR="00265CFF" w:rsidRDefault="00265CFF" w:rsidP="00F92684">
      <w:pPr>
        <w:pStyle w:val="Sinespaciado"/>
        <w:tabs>
          <w:tab w:val="left" w:pos="1155"/>
        </w:tabs>
        <w:spacing w:line="360" w:lineRule="auto"/>
        <w:jc w:val="both"/>
        <w:rPr>
          <w:rFonts w:ascii="Bookman Old Style" w:hAnsi="Bookman Old Style" w:cs="Arial"/>
          <w:sz w:val="28"/>
          <w:szCs w:val="28"/>
        </w:rPr>
      </w:pPr>
    </w:p>
    <w:p w14:paraId="2C41A445" w14:textId="3D137B16" w:rsidR="00003F53" w:rsidRDefault="00003F53"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3. El Juzgado </w:t>
      </w:r>
      <w:r w:rsidR="001B4824" w:rsidRPr="00A17175">
        <w:rPr>
          <w:rFonts w:ascii="Bookman Old Style" w:hAnsi="Bookman Old Style" w:cs="Arial"/>
          <w:sz w:val="28"/>
          <w:szCs w:val="28"/>
        </w:rPr>
        <w:t>Cuarto</w:t>
      </w:r>
      <w:r w:rsidRPr="001B4824">
        <w:rPr>
          <w:rFonts w:ascii="Bookman Old Style" w:hAnsi="Bookman Old Style" w:cs="Arial"/>
          <w:color w:val="FF0000"/>
          <w:sz w:val="28"/>
          <w:szCs w:val="28"/>
        </w:rPr>
        <w:t xml:space="preserve"> </w:t>
      </w:r>
      <w:r>
        <w:rPr>
          <w:rFonts w:ascii="Bookman Old Style" w:hAnsi="Bookman Old Style" w:cs="Arial"/>
          <w:sz w:val="28"/>
          <w:szCs w:val="28"/>
        </w:rPr>
        <w:t xml:space="preserve">Civil del Circuito de Bogotá, a quien fue asignado por reparto el asunto, dispuso su admisión por auto de </w:t>
      </w:r>
      <w:r w:rsidR="00370B4F">
        <w:rPr>
          <w:rFonts w:ascii="Bookman Old Style" w:hAnsi="Bookman Old Style" w:cs="Arial"/>
          <w:sz w:val="28"/>
          <w:szCs w:val="28"/>
        </w:rPr>
        <w:t>2</w:t>
      </w:r>
      <w:r>
        <w:rPr>
          <w:rFonts w:ascii="Bookman Old Style" w:hAnsi="Bookman Old Style" w:cs="Arial"/>
          <w:sz w:val="28"/>
          <w:szCs w:val="28"/>
        </w:rPr>
        <w:t xml:space="preserve">6 de </w:t>
      </w:r>
      <w:r w:rsidR="00370B4F">
        <w:rPr>
          <w:rFonts w:ascii="Bookman Old Style" w:hAnsi="Bookman Old Style" w:cs="Arial"/>
          <w:sz w:val="28"/>
          <w:szCs w:val="28"/>
        </w:rPr>
        <w:t>abril</w:t>
      </w:r>
      <w:r>
        <w:rPr>
          <w:rFonts w:ascii="Bookman Old Style" w:hAnsi="Bookman Old Style" w:cs="Arial"/>
          <w:sz w:val="28"/>
          <w:szCs w:val="28"/>
        </w:rPr>
        <w:t xml:space="preserve"> de </w:t>
      </w:r>
      <w:r w:rsidR="00370B4F">
        <w:rPr>
          <w:rFonts w:ascii="Bookman Old Style" w:hAnsi="Bookman Old Style" w:cs="Arial"/>
          <w:sz w:val="28"/>
          <w:szCs w:val="28"/>
        </w:rPr>
        <w:t>2016</w:t>
      </w:r>
      <w:r>
        <w:rPr>
          <w:rFonts w:ascii="Bookman Old Style" w:hAnsi="Bookman Old Style" w:cs="Arial"/>
          <w:sz w:val="28"/>
          <w:szCs w:val="28"/>
        </w:rPr>
        <w:t xml:space="preserve">, </w:t>
      </w:r>
      <w:r w:rsidR="00370B4F">
        <w:rPr>
          <w:rFonts w:ascii="Bookman Old Style" w:hAnsi="Bookman Old Style" w:cs="Arial"/>
          <w:sz w:val="28"/>
          <w:szCs w:val="28"/>
        </w:rPr>
        <w:t>ordenando el enteramiento de la</w:t>
      </w:r>
      <w:r>
        <w:rPr>
          <w:rFonts w:ascii="Bookman Old Style" w:hAnsi="Bookman Old Style" w:cs="Arial"/>
          <w:sz w:val="28"/>
          <w:szCs w:val="28"/>
        </w:rPr>
        <w:t xml:space="preserve"> </w:t>
      </w:r>
      <w:r w:rsidR="00370B4F">
        <w:rPr>
          <w:rFonts w:ascii="Bookman Old Style" w:hAnsi="Bookman Old Style" w:cs="Arial"/>
          <w:sz w:val="28"/>
          <w:szCs w:val="28"/>
        </w:rPr>
        <w:t>interpelada</w:t>
      </w:r>
      <w:r>
        <w:rPr>
          <w:rFonts w:ascii="Bookman Old Style" w:hAnsi="Bookman Old Style" w:cs="Arial"/>
          <w:sz w:val="28"/>
          <w:szCs w:val="28"/>
        </w:rPr>
        <w:t xml:space="preserve"> (</w:t>
      </w:r>
      <w:proofErr w:type="spellStart"/>
      <w:r>
        <w:rPr>
          <w:rFonts w:ascii="Bookman Old Style" w:hAnsi="Bookman Old Style" w:cs="Arial"/>
          <w:sz w:val="28"/>
          <w:szCs w:val="28"/>
        </w:rPr>
        <w:t>fl</w:t>
      </w:r>
      <w:proofErr w:type="spellEnd"/>
      <w:r w:rsidR="00EF782A">
        <w:rPr>
          <w:rFonts w:ascii="Bookman Old Style" w:hAnsi="Bookman Old Style" w:cs="Arial"/>
          <w:sz w:val="28"/>
          <w:szCs w:val="28"/>
        </w:rPr>
        <w:t>.</w:t>
      </w:r>
      <w:r>
        <w:rPr>
          <w:rFonts w:ascii="Bookman Old Style" w:hAnsi="Bookman Old Style" w:cs="Arial"/>
          <w:sz w:val="28"/>
          <w:szCs w:val="28"/>
        </w:rPr>
        <w:t xml:space="preserve"> </w:t>
      </w:r>
      <w:r w:rsidR="00370B4F">
        <w:rPr>
          <w:rFonts w:ascii="Bookman Old Style" w:hAnsi="Bookman Old Style" w:cs="Arial"/>
          <w:sz w:val="28"/>
          <w:szCs w:val="28"/>
        </w:rPr>
        <w:t>82</w:t>
      </w:r>
      <w:r>
        <w:rPr>
          <w:rFonts w:ascii="Bookman Old Style" w:hAnsi="Bookman Old Style" w:cs="Arial"/>
          <w:sz w:val="28"/>
          <w:szCs w:val="28"/>
        </w:rPr>
        <w:t xml:space="preserve"> Cd1).</w:t>
      </w:r>
    </w:p>
    <w:p w14:paraId="6D47AF06" w14:textId="77777777" w:rsidR="00003F53" w:rsidRDefault="00003F53" w:rsidP="00F92684">
      <w:pPr>
        <w:pStyle w:val="Sinespaciado"/>
        <w:spacing w:line="360" w:lineRule="auto"/>
        <w:ind w:firstLine="709"/>
        <w:jc w:val="both"/>
        <w:rPr>
          <w:rFonts w:ascii="Bookman Old Style" w:hAnsi="Bookman Old Style" w:cs="Arial"/>
          <w:sz w:val="28"/>
          <w:szCs w:val="28"/>
        </w:rPr>
      </w:pPr>
    </w:p>
    <w:p w14:paraId="72126FB7" w14:textId="3EA9EE39" w:rsidR="00ED0A56" w:rsidRDefault="00003F53"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4. </w:t>
      </w:r>
      <w:r w:rsidR="00370B4F">
        <w:rPr>
          <w:rFonts w:ascii="Bookman Old Style" w:hAnsi="Bookman Old Style" w:cs="Arial"/>
          <w:sz w:val="28"/>
          <w:szCs w:val="28"/>
        </w:rPr>
        <w:t>Global Seguros de Vida S.A.</w:t>
      </w:r>
      <w:r w:rsidR="00DE737D">
        <w:rPr>
          <w:rFonts w:ascii="Bookman Old Style" w:hAnsi="Bookman Old Style" w:cs="Arial"/>
          <w:sz w:val="28"/>
          <w:szCs w:val="28"/>
        </w:rPr>
        <w:t xml:space="preserve"> </w:t>
      </w:r>
      <w:r w:rsidR="00370B4F">
        <w:rPr>
          <w:rFonts w:ascii="Bookman Old Style" w:hAnsi="Bookman Old Style" w:cs="Arial"/>
          <w:sz w:val="28"/>
          <w:szCs w:val="28"/>
        </w:rPr>
        <w:t>aceptó</w:t>
      </w:r>
      <w:r w:rsidR="00697901">
        <w:rPr>
          <w:rFonts w:ascii="Bookman Old Style" w:hAnsi="Bookman Old Style" w:cs="Arial"/>
          <w:sz w:val="28"/>
          <w:szCs w:val="28"/>
        </w:rPr>
        <w:t xml:space="preserve"> unos hechos, </w:t>
      </w:r>
      <w:r w:rsidR="00370B4F">
        <w:rPr>
          <w:rFonts w:ascii="Bookman Old Style" w:hAnsi="Bookman Old Style" w:cs="Arial"/>
          <w:sz w:val="28"/>
          <w:szCs w:val="28"/>
        </w:rPr>
        <w:t>negó</w:t>
      </w:r>
      <w:r w:rsidR="00697901">
        <w:rPr>
          <w:rFonts w:ascii="Bookman Old Style" w:hAnsi="Bookman Old Style" w:cs="Arial"/>
          <w:sz w:val="28"/>
          <w:szCs w:val="28"/>
        </w:rPr>
        <w:t xml:space="preserve"> otros y</w:t>
      </w:r>
      <w:r w:rsidR="00370B4F">
        <w:rPr>
          <w:rFonts w:ascii="Bookman Old Style" w:hAnsi="Bookman Old Style" w:cs="Arial"/>
          <w:sz w:val="28"/>
          <w:szCs w:val="28"/>
        </w:rPr>
        <w:t xml:space="preserve"> manifestó</w:t>
      </w:r>
      <w:r w:rsidR="00697901">
        <w:rPr>
          <w:rFonts w:ascii="Bookman Old Style" w:hAnsi="Bookman Old Style" w:cs="Arial"/>
          <w:sz w:val="28"/>
          <w:szCs w:val="28"/>
        </w:rPr>
        <w:t xml:space="preserve"> no constarle el resto. Se opuso a las pretensiones de la demanda y propuso las excepciones que </w:t>
      </w:r>
      <w:r w:rsidR="00697901">
        <w:rPr>
          <w:rFonts w:ascii="Bookman Old Style" w:hAnsi="Bookman Old Style" w:cs="Arial"/>
          <w:sz w:val="28"/>
          <w:szCs w:val="28"/>
        </w:rPr>
        <w:lastRenderedPageBreak/>
        <w:t xml:space="preserve">denominó </w:t>
      </w:r>
      <w:r w:rsidR="00697901" w:rsidRPr="00F4096D">
        <w:rPr>
          <w:rFonts w:ascii="Bookman Old Style" w:hAnsi="Bookman Old Style" w:cs="Arial"/>
          <w:sz w:val="28"/>
          <w:szCs w:val="28"/>
        </w:rPr>
        <w:t>«</w:t>
      </w:r>
      <w:r w:rsidR="00370B4F" w:rsidRPr="00F4096D">
        <w:rPr>
          <w:rFonts w:ascii="Bookman Old Style" w:hAnsi="Bookman Old Style" w:cs="Arial"/>
          <w:i/>
          <w:sz w:val="24"/>
          <w:szCs w:val="28"/>
        </w:rPr>
        <w:t>Terminación del contrato de seguro de vida individual no. 1783 plan renta dorada, conforme las condiciones del contrato y los hecho acaecidos</w:t>
      </w:r>
      <w:r w:rsidR="00370B4F" w:rsidRPr="00F4096D">
        <w:rPr>
          <w:rFonts w:ascii="Bookman Old Style" w:hAnsi="Bookman Old Style" w:cs="Arial"/>
          <w:sz w:val="24"/>
          <w:szCs w:val="28"/>
        </w:rPr>
        <w:t>»</w:t>
      </w:r>
      <w:r w:rsidR="00370B4F" w:rsidRPr="00C34BC8">
        <w:rPr>
          <w:rFonts w:ascii="Bookman Old Style" w:hAnsi="Bookman Old Style" w:cs="Arial"/>
          <w:sz w:val="28"/>
          <w:szCs w:val="28"/>
        </w:rPr>
        <w:t xml:space="preserve"> y </w:t>
      </w:r>
      <w:r w:rsidR="00697901" w:rsidRPr="00F4096D">
        <w:rPr>
          <w:rFonts w:ascii="Bookman Old Style" w:hAnsi="Bookman Old Style" w:cs="Arial"/>
          <w:sz w:val="24"/>
          <w:szCs w:val="28"/>
        </w:rPr>
        <w:t>«</w:t>
      </w:r>
      <w:r w:rsidR="00370B4F" w:rsidRPr="00F4096D">
        <w:rPr>
          <w:rFonts w:ascii="Bookman Old Style" w:hAnsi="Bookman Old Style" w:cs="Arial"/>
          <w:i/>
          <w:sz w:val="24"/>
          <w:szCs w:val="28"/>
        </w:rPr>
        <w:t>Global Seguros de Vida S.A. dio pleno cumplimiento a sus obligaciones contractuales</w:t>
      </w:r>
      <w:r w:rsidR="00370B4F" w:rsidRPr="00F4096D">
        <w:rPr>
          <w:rFonts w:ascii="Bookman Old Style" w:hAnsi="Bookman Old Style" w:cs="Arial"/>
          <w:sz w:val="24"/>
          <w:szCs w:val="28"/>
        </w:rPr>
        <w:t>»</w:t>
      </w:r>
      <w:r w:rsidR="00370B4F">
        <w:rPr>
          <w:rFonts w:ascii="Bookman Old Style" w:hAnsi="Bookman Old Style" w:cs="Arial"/>
          <w:sz w:val="28"/>
          <w:szCs w:val="28"/>
        </w:rPr>
        <w:t xml:space="preserve"> (folio 154 C.1)</w:t>
      </w:r>
      <w:r w:rsidR="00697901">
        <w:rPr>
          <w:rFonts w:ascii="Bookman Old Style" w:hAnsi="Bookman Old Style" w:cs="Arial"/>
          <w:sz w:val="28"/>
          <w:szCs w:val="28"/>
        </w:rPr>
        <w:t>.</w:t>
      </w:r>
    </w:p>
    <w:p w14:paraId="4854A71B" w14:textId="77777777" w:rsidR="00ED0A56" w:rsidRDefault="00ED0A56" w:rsidP="00F92684">
      <w:pPr>
        <w:pStyle w:val="Sinespaciado"/>
        <w:spacing w:line="360" w:lineRule="auto"/>
        <w:jc w:val="both"/>
        <w:rPr>
          <w:rFonts w:ascii="Bookman Old Style" w:hAnsi="Bookman Old Style" w:cs="Arial"/>
          <w:sz w:val="28"/>
          <w:szCs w:val="28"/>
        </w:rPr>
      </w:pPr>
    </w:p>
    <w:p w14:paraId="729B98BD" w14:textId="6F110FA6" w:rsidR="00ED0A56" w:rsidRDefault="00ED0A56"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5. Agotadas las etapas que le son propias a este tipo de </w:t>
      </w:r>
      <w:r w:rsidR="00A17175">
        <w:rPr>
          <w:rFonts w:ascii="Bookman Old Style" w:hAnsi="Bookman Old Style" w:cs="Arial"/>
          <w:sz w:val="28"/>
          <w:szCs w:val="28"/>
        </w:rPr>
        <w:t>asuntos</w:t>
      </w:r>
      <w:r w:rsidR="00A72140">
        <w:rPr>
          <w:rFonts w:ascii="Bookman Old Style" w:hAnsi="Bookman Old Style" w:cs="Arial"/>
          <w:sz w:val="28"/>
          <w:szCs w:val="28"/>
        </w:rPr>
        <w:t>,</w:t>
      </w:r>
      <w:r>
        <w:rPr>
          <w:rFonts w:ascii="Bookman Old Style" w:hAnsi="Bookman Old Style" w:cs="Arial"/>
          <w:sz w:val="28"/>
          <w:szCs w:val="28"/>
        </w:rPr>
        <w:t xml:space="preserve"> el </w:t>
      </w:r>
      <w:r w:rsidR="002954BB" w:rsidRPr="00A17175">
        <w:rPr>
          <w:rFonts w:ascii="Bookman Old Style" w:hAnsi="Bookman Old Style" w:cs="Arial"/>
          <w:sz w:val="28"/>
          <w:szCs w:val="28"/>
        </w:rPr>
        <w:t>juzgado cognoscente</w:t>
      </w:r>
      <w:r>
        <w:rPr>
          <w:rFonts w:ascii="Bookman Old Style" w:hAnsi="Bookman Old Style" w:cs="Arial"/>
          <w:sz w:val="28"/>
          <w:szCs w:val="28"/>
        </w:rPr>
        <w:t xml:space="preserve"> dirimió la instancia </w:t>
      </w:r>
      <w:r w:rsidR="00F638F1">
        <w:rPr>
          <w:rFonts w:ascii="Bookman Old Style" w:hAnsi="Bookman Old Style" w:cs="Arial"/>
          <w:sz w:val="28"/>
          <w:szCs w:val="28"/>
        </w:rPr>
        <w:t>el</w:t>
      </w:r>
      <w:r w:rsidR="00573546">
        <w:rPr>
          <w:rFonts w:ascii="Bookman Old Style" w:hAnsi="Bookman Old Style" w:cs="Arial"/>
          <w:sz w:val="28"/>
          <w:szCs w:val="28"/>
        </w:rPr>
        <w:t xml:space="preserve"> </w:t>
      </w:r>
      <w:r w:rsidR="00370B4F">
        <w:rPr>
          <w:rFonts w:ascii="Bookman Old Style" w:hAnsi="Bookman Old Style" w:cs="Arial"/>
          <w:sz w:val="28"/>
          <w:szCs w:val="28"/>
        </w:rPr>
        <w:t>19</w:t>
      </w:r>
      <w:r>
        <w:rPr>
          <w:rFonts w:ascii="Bookman Old Style" w:hAnsi="Bookman Old Style" w:cs="Arial"/>
          <w:sz w:val="28"/>
          <w:szCs w:val="28"/>
        </w:rPr>
        <w:t xml:space="preserve"> de </w:t>
      </w:r>
      <w:r w:rsidR="00370B4F">
        <w:rPr>
          <w:rFonts w:ascii="Bookman Old Style" w:hAnsi="Bookman Old Style" w:cs="Arial"/>
          <w:sz w:val="28"/>
          <w:szCs w:val="28"/>
        </w:rPr>
        <w:t>octubre</w:t>
      </w:r>
      <w:r>
        <w:rPr>
          <w:rFonts w:ascii="Bookman Old Style" w:hAnsi="Bookman Old Style" w:cs="Arial"/>
          <w:sz w:val="28"/>
          <w:szCs w:val="28"/>
        </w:rPr>
        <w:t xml:space="preserve"> de </w:t>
      </w:r>
      <w:r w:rsidR="00370B4F">
        <w:rPr>
          <w:rFonts w:ascii="Bookman Old Style" w:hAnsi="Bookman Old Style" w:cs="Arial"/>
          <w:sz w:val="28"/>
          <w:szCs w:val="28"/>
        </w:rPr>
        <w:t>2016</w:t>
      </w:r>
      <w:r w:rsidR="00D02346">
        <w:rPr>
          <w:rFonts w:ascii="Bookman Old Style" w:hAnsi="Bookman Old Style" w:cs="Arial"/>
          <w:sz w:val="28"/>
          <w:szCs w:val="28"/>
        </w:rPr>
        <w:t>. En su proveído, declaró prósperas las excepciones de mérito</w:t>
      </w:r>
      <w:r w:rsidR="000E0CE5">
        <w:rPr>
          <w:rFonts w:ascii="Bookman Old Style" w:hAnsi="Bookman Old Style" w:cs="Arial"/>
          <w:sz w:val="28"/>
          <w:szCs w:val="28"/>
        </w:rPr>
        <w:t>.</w:t>
      </w:r>
      <w:r w:rsidR="00D02346">
        <w:rPr>
          <w:rFonts w:ascii="Bookman Old Style" w:hAnsi="Bookman Old Style" w:cs="Arial"/>
          <w:sz w:val="28"/>
          <w:szCs w:val="28"/>
        </w:rPr>
        <w:t xml:space="preserve"> </w:t>
      </w:r>
      <w:r w:rsidR="000E0CE5">
        <w:rPr>
          <w:rFonts w:ascii="Bookman Old Style" w:hAnsi="Bookman Old Style" w:cs="Arial"/>
          <w:sz w:val="28"/>
          <w:szCs w:val="28"/>
        </w:rPr>
        <w:t>Y</w:t>
      </w:r>
      <w:r w:rsidR="00D02346">
        <w:rPr>
          <w:rFonts w:ascii="Bookman Old Style" w:hAnsi="Bookman Old Style" w:cs="Arial"/>
          <w:sz w:val="28"/>
          <w:szCs w:val="28"/>
        </w:rPr>
        <w:t>, en consecuencia,</w:t>
      </w:r>
      <w:r>
        <w:rPr>
          <w:rFonts w:ascii="Bookman Old Style" w:hAnsi="Bookman Old Style" w:cs="Arial"/>
          <w:sz w:val="28"/>
          <w:szCs w:val="28"/>
        </w:rPr>
        <w:t xml:space="preserve"> </w:t>
      </w:r>
      <w:r w:rsidR="00D02346">
        <w:rPr>
          <w:rFonts w:ascii="Bookman Old Style" w:hAnsi="Bookman Old Style" w:cs="Arial"/>
          <w:sz w:val="28"/>
          <w:szCs w:val="28"/>
        </w:rPr>
        <w:t>desestimó todas</w:t>
      </w:r>
      <w:r w:rsidR="00573546">
        <w:rPr>
          <w:rFonts w:ascii="Bookman Old Style" w:hAnsi="Bookman Old Style" w:cs="Arial"/>
          <w:sz w:val="28"/>
          <w:szCs w:val="28"/>
        </w:rPr>
        <w:t xml:space="preserve"> las </w:t>
      </w:r>
      <w:r w:rsidR="00BA6F09" w:rsidRPr="00F4096D">
        <w:rPr>
          <w:rFonts w:ascii="Bookman Old Style" w:hAnsi="Bookman Old Style" w:cs="Arial"/>
          <w:sz w:val="28"/>
          <w:szCs w:val="28"/>
        </w:rPr>
        <w:t>súplicas</w:t>
      </w:r>
      <w:r w:rsidR="00573546" w:rsidRPr="00BA6F09">
        <w:rPr>
          <w:rFonts w:ascii="Bookman Old Style" w:hAnsi="Bookman Old Style" w:cs="Arial"/>
          <w:color w:val="FF0000"/>
          <w:sz w:val="28"/>
          <w:szCs w:val="28"/>
        </w:rPr>
        <w:t xml:space="preserve"> </w:t>
      </w:r>
      <w:r w:rsidR="00573546">
        <w:rPr>
          <w:rFonts w:ascii="Bookman Old Style" w:hAnsi="Bookman Old Style" w:cs="Arial"/>
          <w:sz w:val="28"/>
          <w:szCs w:val="28"/>
        </w:rPr>
        <w:t>de la demanda</w:t>
      </w:r>
      <w:r>
        <w:rPr>
          <w:rFonts w:ascii="Bookman Old Style" w:hAnsi="Bookman Old Style" w:cs="Arial"/>
          <w:sz w:val="28"/>
          <w:szCs w:val="28"/>
        </w:rPr>
        <w:t>.</w:t>
      </w:r>
    </w:p>
    <w:p w14:paraId="563F7402" w14:textId="77777777" w:rsidR="00ED0A56" w:rsidRDefault="00ED0A56" w:rsidP="00F92684">
      <w:pPr>
        <w:pStyle w:val="Sinespaciado"/>
        <w:spacing w:line="360" w:lineRule="auto"/>
        <w:ind w:firstLine="709"/>
        <w:jc w:val="both"/>
        <w:rPr>
          <w:rFonts w:ascii="Bookman Old Style" w:hAnsi="Bookman Old Style" w:cs="Arial"/>
          <w:sz w:val="28"/>
          <w:szCs w:val="28"/>
        </w:rPr>
      </w:pPr>
    </w:p>
    <w:p w14:paraId="5B52598D" w14:textId="050EFB72" w:rsidR="00626AE5" w:rsidRDefault="00ED0A56"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6. El </w:t>
      </w:r>
      <w:r w:rsidR="00161C4A">
        <w:rPr>
          <w:rFonts w:ascii="Bookman Old Style" w:hAnsi="Bookman Old Style" w:cs="Arial"/>
          <w:sz w:val="28"/>
          <w:szCs w:val="28"/>
        </w:rPr>
        <w:t>Tribunal</w:t>
      </w:r>
      <w:r>
        <w:rPr>
          <w:rFonts w:ascii="Bookman Old Style" w:hAnsi="Bookman Old Style" w:cs="Arial"/>
          <w:sz w:val="28"/>
          <w:szCs w:val="28"/>
        </w:rPr>
        <w:t xml:space="preserve"> Superior de Bogotá – Sala Civil desató el recurso de apelación formulado por </w:t>
      </w:r>
      <w:r w:rsidR="00905E3D">
        <w:rPr>
          <w:rFonts w:ascii="Bookman Old Style" w:hAnsi="Bookman Old Style" w:cs="Arial"/>
          <w:sz w:val="28"/>
          <w:szCs w:val="28"/>
        </w:rPr>
        <w:t>la demandante</w:t>
      </w:r>
      <w:r w:rsidR="002954BB">
        <w:rPr>
          <w:rFonts w:ascii="Bookman Old Style" w:hAnsi="Bookman Old Style" w:cs="Arial"/>
          <w:sz w:val="28"/>
          <w:szCs w:val="28"/>
        </w:rPr>
        <w:t xml:space="preserve"> </w:t>
      </w:r>
      <w:r w:rsidR="00F638F1">
        <w:rPr>
          <w:rFonts w:ascii="Bookman Old Style" w:hAnsi="Bookman Old Style" w:cs="Arial"/>
          <w:sz w:val="28"/>
          <w:szCs w:val="28"/>
        </w:rPr>
        <w:t>el</w:t>
      </w:r>
      <w:r>
        <w:rPr>
          <w:rFonts w:ascii="Bookman Old Style" w:hAnsi="Bookman Old Style" w:cs="Arial"/>
          <w:sz w:val="28"/>
          <w:szCs w:val="28"/>
        </w:rPr>
        <w:t xml:space="preserve"> </w:t>
      </w:r>
      <w:r w:rsidR="00905E3D">
        <w:rPr>
          <w:rFonts w:ascii="Bookman Old Style" w:hAnsi="Bookman Old Style" w:cs="Arial"/>
          <w:sz w:val="28"/>
          <w:szCs w:val="28"/>
        </w:rPr>
        <w:t>28</w:t>
      </w:r>
      <w:r>
        <w:rPr>
          <w:rFonts w:ascii="Bookman Old Style" w:hAnsi="Bookman Old Style" w:cs="Arial"/>
          <w:sz w:val="28"/>
          <w:szCs w:val="28"/>
        </w:rPr>
        <w:t xml:space="preserve"> de </w:t>
      </w:r>
      <w:r w:rsidR="00905E3D">
        <w:rPr>
          <w:rFonts w:ascii="Bookman Old Style" w:hAnsi="Bookman Old Style" w:cs="Arial"/>
          <w:sz w:val="28"/>
          <w:szCs w:val="28"/>
        </w:rPr>
        <w:t>febrero</w:t>
      </w:r>
      <w:r>
        <w:rPr>
          <w:rFonts w:ascii="Bookman Old Style" w:hAnsi="Bookman Old Style" w:cs="Arial"/>
          <w:sz w:val="28"/>
          <w:szCs w:val="28"/>
        </w:rPr>
        <w:t xml:space="preserve"> de </w:t>
      </w:r>
      <w:r w:rsidR="00573546">
        <w:rPr>
          <w:rFonts w:ascii="Bookman Old Style" w:hAnsi="Bookman Old Style" w:cs="Arial"/>
          <w:sz w:val="28"/>
          <w:szCs w:val="28"/>
        </w:rPr>
        <w:t>2018</w:t>
      </w:r>
      <w:r w:rsidR="00DC04CB">
        <w:rPr>
          <w:rFonts w:ascii="Bookman Old Style" w:hAnsi="Bookman Old Style" w:cs="Arial"/>
          <w:sz w:val="28"/>
          <w:szCs w:val="28"/>
        </w:rPr>
        <w:t>.</w:t>
      </w:r>
      <w:r>
        <w:rPr>
          <w:rFonts w:ascii="Bookman Old Style" w:hAnsi="Bookman Old Style" w:cs="Arial"/>
          <w:sz w:val="28"/>
          <w:szCs w:val="28"/>
        </w:rPr>
        <w:t xml:space="preserve"> </w:t>
      </w:r>
      <w:r w:rsidR="00DC04CB">
        <w:rPr>
          <w:rFonts w:ascii="Bookman Old Style" w:hAnsi="Bookman Old Style" w:cs="Arial"/>
          <w:sz w:val="28"/>
          <w:szCs w:val="28"/>
        </w:rPr>
        <w:t>R</w:t>
      </w:r>
      <w:r w:rsidR="00905E3D">
        <w:rPr>
          <w:rFonts w:ascii="Bookman Old Style" w:hAnsi="Bookman Old Style" w:cs="Arial"/>
          <w:sz w:val="28"/>
          <w:szCs w:val="28"/>
        </w:rPr>
        <w:t>evoc</w:t>
      </w:r>
      <w:r w:rsidR="00DC04CB">
        <w:rPr>
          <w:rFonts w:ascii="Bookman Old Style" w:hAnsi="Bookman Old Style" w:cs="Arial"/>
          <w:sz w:val="28"/>
          <w:szCs w:val="28"/>
        </w:rPr>
        <w:t>ó</w:t>
      </w:r>
      <w:r>
        <w:rPr>
          <w:rFonts w:ascii="Bookman Old Style" w:hAnsi="Bookman Old Style" w:cs="Arial"/>
          <w:sz w:val="28"/>
          <w:szCs w:val="28"/>
        </w:rPr>
        <w:t xml:space="preserve"> en su totalidad la </w:t>
      </w:r>
      <w:r w:rsidR="00306D7A">
        <w:rPr>
          <w:rFonts w:ascii="Bookman Old Style" w:hAnsi="Bookman Old Style" w:cs="Arial"/>
          <w:sz w:val="28"/>
          <w:szCs w:val="28"/>
        </w:rPr>
        <w:t xml:space="preserve">decisión </w:t>
      </w:r>
      <w:r w:rsidR="00573546">
        <w:rPr>
          <w:rFonts w:ascii="Bookman Old Style" w:hAnsi="Bookman Old Style" w:cs="Arial"/>
          <w:sz w:val="28"/>
          <w:szCs w:val="28"/>
        </w:rPr>
        <w:t>de primer grado</w:t>
      </w:r>
      <w:r w:rsidR="00626AE5">
        <w:rPr>
          <w:rFonts w:ascii="Bookman Old Style" w:hAnsi="Bookman Old Style" w:cs="Arial"/>
          <w:sz w:val="28"/>
          <w:szCs w:val="28"/>
        </w:rPr>
        <w:t>.</w:t>
      </w:r>
      <w:r w:rsidR="00905E3D">
        <w:rPr>
          <w:rFonts w:ascii="Bookman Old Style" w:hAnsi="Bookman Old Style" w:cs="Arial"/>
          <w:sz w:val="28"/>
          <w:szCs w:val="28"/>
        </w:rPr>
        <w:t xml:space="preserve"> En su lugar, declaró que Global Seguros de Vida S.A. incumplió el contrato de seguro a que refiere la póliza </w:t>
      </w:r>
      <w:r w:rsidR="0017739F" w:rsidRPr="005A1AD1">
        <w:rPr>
          <w:rFonts w:ascii="Bookman Old Style" w:hAnsi="Bookman Old Style" w:cs="Arial"/>
          <w:sz w:val="28"/>
          <w:szCs w:val="28"/>
        </w:rPr>
        <w:t>núm</w:t>
      </w:r>
      <w:r w:rsidR="00905E3D" w:rsidRPr="005A1AD1">
        <w:rPr>
          <w:rFonts w:ascii="Bookman Old Style" w:hAnsi="Bookman Old Style" w:cs="Arial"/>
          <w:sz w:val="28"/>
          <w:szCs w:val="28"/>
        </w:rPr>
        <w:t xml:space="preserve">. </w:t>
      </w:r>
      <w:r w:rsidR="00905E3D">
        <w:rPr>
          <w:rFonts w:ascii="Bookman Old Style" w:hAnsi="Bookman Old Style" w:cs="Arial"/>
          <w:sz w:val="28"/>
          <w:szCs w:val="28"/>
        </w:rPr>
        <w:t>1783</w:t>
      </w:r>
      <w:r w:rsidR="0042115D">
        <w:rPr>
          <w:rFonts w:ascii="Bookman Old Style" w:hAnsi="Bookman Old Style" w:cs="Arial"/>
          <w:sz w:val="28"/>
          <w:szCs w:val="28"/>
        </w:rPr>
        <w:t>.</w:t>
      </w:r>
      <w:r w:rsidR="00905E3D">
        <w:rPr>
          <w:rFonts w:ascii="Bookman Old Style" w:hAnsi="Bookman Old Style" w:cs="Arial"/>
          <w:sz w:val="28"/>
          <w:szCs w:val="28"/>
        </w:rPr>
        <w:t xml:space="preserve"> </w:t>
      </w:r>
      <w:r w:rsidR="0042115D">
        <w:rPr>
          <w:rFonts w:ascii="Bookman Old Style" w:hAnsi="Bookman Old Style" w:cs="Arial"/>
          <w:sz w:val="28"/>
          <w:szCs w:val="28"/>
        </w:rPr>
        <w:t>Y</w:t>
      </w:r>
      <w:r w:rsidR="00905E3D">
        <w:rPr>
          <w:rFonts w:ascii="Bookman Old Style" w:hAnsi="Bookman Old Style" w:cs="Arial"/>
          <w:sz w:val="28"/>
          <w:szCs w:val="28"/>
        </w:rPr>
        <w:t xml:space="preserve"> la condenó </w:t>
      </w:r>
      <w:r w:rsidR="00905E3D" w:rsidRPr="00F4096D">
        <w:rPr>
          <w:rFonts w:ascii="Bookman Old Style" w:hAnsi="Bookman Old Style" w:cs="Arial"/>
          <w:sz w:val="28"/>
          <w:szCs w:val="28"/>
        </w:rPr>
        <w:t>«</w:t>
      </w:r>
      <w:r w:rsidR="00905E3D" w:rsidRPr="00F4096D">
        <w:rPr>
          <w:rFonts w:ascii="Bookman Old Style" w:hAnsi="Bookman Old Style" w:cs="Arial"/>
          <w:i/>
          <w:sz w:val="24"/>
          <w:szCs w:val="28"/>
        </w:rPr>
        <w:t>a mantener la vigencia de la póliza No.</w:t>
      </w:r>
      <w:r w:rsidR="00A827E7">
        <w:rPr>
          <w:rFonts w:ascii="Bookman Old Style" w:hAnsi="Bookman Old Style" w:cs="Arial"/>
          <w:i/>
          <w:sz w:val="24"/>
          <w:szCs w:val="28"/>
        </w:rPr>
        <w:t xml:space="preserve"> </w:t>
      </w:r>
      <w:r w:rsidR="00905E3D" w:rsidRPr="00F4096D">
        <w:rPr>
          <w:rFonts w:ascii="Bookman Old Style" w:hAnsi="Bookman Old Style" w:cs="Arial"/>
          <w:i/>
          <w:sz w:val="24"/>
          <w:szCs w:val="28"/>
        </w:rPr>
        <w:t>1783 tomada por el señor José Chafic Aljure Caicedo el 5 de marzo de 1997, bajo las mismas condiciones generales y amparos allí establecidos como en sus modificaciones, por lo anotado</w:t>
      </w:r>
      <w:r w:rsidR="00905E3D" w:rsidRPr="00F4096D">
        <w:rPr>
          <w:rFonts w:ascii="Bookman Old Style" w:hAnsi="Bookman Old Style" w:cs="Arial"/>
          <w:sz w:val="28"/>
          <w:szCs w:val="28"/>
        </w:rPr>
        <w:t>».</w:t>
      </w:r>
    </w:p>
    <w:p w14:paraId="0142547D" w14:textId="77777777" w:rsidR="00626AE5" w:rsidRDefault="00626AE5" w:rsidP="00F92684">
      <w:pPr>
        <w:pStyle w:val="Sinespaciado"/>
        <w:spacing w:line="360" w:lineRule="auto"/>
        <w:ind w:firstLine="709"/>
        <w:jc w:val="both"/>
        <w:rPr>
          <w:rFonts w:ascii="Bookman Old Style" w:hAnsi="Bookman Old Style" w:cs="Arial"/>
          <w:sz w:val="28"/>
          <w:szCs w:val="28"/>
        </w:rPr>
      </w:pPr>
    </w:p>
    <w:p w14:paraId="68AFDFDA" w14:textId="6099280D" w:rsidR="00626AE5" w:rsidRDefault="00626AE5"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7. Inconforme con lo así decidido</w:t>
      </w:r>
      <w:r w:rsidR="00414B2C">
        <w:rPr>
          <w:rFonts w:ascii="Bookman Old Style" w:hAnsi="Bookman Old Style" w:cs="Arial"/>
          <w:sz w:val="28"/>
          <w:szCs w:val="28"/>
        </w:rPr>
        <w:t>,</w:t>
      </w:r>
      <w:r>
        <w:rPr>
          <w:rFonts w:ascii="Bookman Old Style" w:hAnsi="Bookman Old Style" w:cs="Arial"/>
          <w:sz w:val="28"/>
          <w:szCs w:val="28"/>
        </w:rPr>
        <w:t xml:space="preserve"> el extremo vencido formuló recurso de casación, </w:t>
      </w:r>
      <w:r w:rsidR="002C1168">
        <w:rPr>
          <w:rFonts w:ascii="Bookman Old Style" w:hAnsi="Bookman Old Style" w:cs="Arial"/>
          <w:sz w:val="28"/>
          <w:szCs w:val="28"/>
        </w:rPr>
        <w:t>que</w:t>
      </w:r>
      <w:r>
        <w:rPr>
          <w:rFonts w:ascii="Bookman Old Style" w:hAnsi="Bookman Old Style" w:cs="Arial"/>
          <w:sz w:val="28"/>
          <w:szCs w:val="28"/>
        </w:rPr>
        <w:t xml:space="preserve"> fue admitido a trámite por esta Corporación. </w:t>
      </w:r>
    </w:p>
    <w:p w14:paraId="279BCBC7" w14:textId="77777777" w:rsidR="00F4096D" w:rsidRDefault="00F4096D" w:rsidP="00BA6F09">
      <w:pPr>
        <w:pStyle w:val="Sinespaciado"/>
        <w:spacing w:line="360" w:lineRule="auto"/>
        <w:jc w:val="both"/>
        <w:rPr>
          <w:rFonts w:ascii="Bookman Old Style" w:hAnsi="Bookman Old Style" w:cs="Arial"/>
          <w:sz w:val="28"/>
          <w:szCs w:val="28"/>
        </w:rPr>
      </w:pPr>
    </w:p>
    <w:p w14:paraId="2ACBD357" w14:textId="77777777" w:rsidR="005E63E3" w:rsidRPr="004F1D1F" w:rsidRDefault="005E63E3" w:rsidP="0017009D">
      <w:pPr>
        <w:pStyle w:val="Sinespaciado"/>
        <w:spacing w:line="360" w:lineRule="auto"/>
        <w:jc w:val="center"/>
        <w:rPr>
          <w:rFonts w:ascii="Bookman Old Style" w:hAnsi="Bookman Old Style" w:cs="Arial"/>
          <w:b/>
          <w:sz w:val="28"/>
          <w:szCs w:val="28"/>
        </w:rPr>
      </w:pPr>
      <w:r w:rsidRPr="004F1D1F">
        <w:rPr>
          <w:rFonts w:ascii="Bookman Old Style" w:hAnsi="Bookman Old Style" w:cs="Arial"/>
          <w:b/>
          <w:sz w:val="28"/>
          <w:szCs w:val="28"/>
        </w:rPr>
        <w:t>LA SENTENCIA IMPUGNADA</w:t>
      </w:r>
    </w:p>
    <w:p w14:paraId="5B0E11F1" w14:textId="77777777" w:rsidR="00DD5404" w:rsidRDefault="00DD5404" w:rsidP="00F92684">
      <w:pPr>
        <w:pStyle w:val="Sinespaciado"/>
        <w:spacing w:line="360" w:lineRule="auto"/>
        <w:jc w:val="both"/>
        <w:rPr>
          <w:rFonts w:ascii="Bookman Old Style" w:hAnsi="Bookman Old Style" w:cs="Arial"/>
          <w:sz w:val="28"/>
          <w:szCs w:val="28"/>
        </w:rPr>
      </w:pPr>
    </w:p>
    <w:p w14:paraId="70B73466" w14:textId="285B62EF" w:rsidR="00AC1F2B" w:rsidRDefault="00905E3D" w:rsidP="00BA6F09">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El Tribunal comenzó por exponer extensamente la doctrina existente sobre el contrato de seguro, su régimen jurídico y la buena fe que se predica frente a toda clase de </w:t>
      </w:r>
      <w:r>
        <w:rPr>
          <w:rFonts w:ascii="Bookman Old Style" w:hAnsi="Bookman Old Style" w:cs="Arial"/>
          <w:sz w:val="28"/>
          <w:szCs w:val="28"/>
        </w:rPr>
        <w:lastRenderedPageBreak/>
        <w:t xml:space="preserve">relaciones contractuales. </w:t>
      </w:r>
      <w:r w:rsidR="00467302">
        <w:rPr>
          <w:rFonts w:ascii="Bookman Old Style" w:hAnsi="Bookman Old Style" w:cs="Arial"/>
          <w:sz w:val="28"/>
          <w:szCs w:val="28"/>
        </w:rPr>
        <w:t xml:space="preserve">Cotejado tal recuento con el caso que ocupa la atención de la Sala, el </w:t>
      </w:r>
      <w:r w:rsidR="00467302">
        <w:rPr>
          <w:rFonts w:ascii="Bookman Old Style" w:hAnsi="Bookman Old Style" w:cs="Arial"/>
          <w:i/>
          <w:sz w:val="28"/>
          <w:szCs w:val="28"/>
        </w:rPr>
        <w:t>ad quem</w:t>
      </w:r>
      <w:r w:rsidR="00467302">
        <w:rPr>
          <w:rFonts w:ascii="Bookman Old Style" w:hAnsi="Bookman Old Style" w:cs="Arial"/>
          <w:sz w:val="28"/>
          <w:szCs w:val="28"/>
        </w:rPr>
        <w:t xml:space="preserve"> aseveró </w:t>
      </w:r>
      <w:r w:rsidR="00467302" w:rsidRPr="00F4096D">
        <w:rPr>
          <w:rFonts w:ascii="Bookman Old Style" w:hAnsi="Bookman Old Style" w:cs="Arial"/>
          <w:sz w:val="28"/>
          <w:szCs w:val="28"/>
        </w:rPr>
        <w:t>que «</w:t>
      </w:r>
      <w:r w:rsidR="00467302" w:rsidRPr="00F4096D">
        <w:rPr>
          <w:rFonts w:ascii="Bookman Old Style" w:hAnsi="Bookman Old Style" w:cs="Arial"/>
          <w:i/>
          <w:sz w:val="24"/>
          <w:szCs w:val="28"/>
        </w:rPr>
        <w:t>no hay duda que entre las partes se ajustó un negocio aseguraticio que recoge la Póliza No. 1783, bajo la modalidad de "renta dorada", mediante el cual, la parte demandada cubría el riesgo de la muerte del asegurado, contrato que tenía una vigencia inicial de "4 años, renovable automáticamente por periodos de 4 años, hasta la edad de 80 años", y el cual, se inició con un valor asegurado de $20.000.000,00 que se aumentaría "cada año, contado a partir de la expedición de la póliza" en "un 20%". Así, se lee expresamente del texto de la póliza y su anexo obrante a folio 84</w:t>
      </w:r>
      <w:r w:rsidR="00467302" w:rsidRPr="00F4096D">
        <w:rPr>
          <w:rFonts w:ascii="Bookman Old Style" w:hAnsi="Bookman Old Style" w:cs="Arial"/>
          <w:sz w:val="28"/>
          <w:szCs w:val="28"/>
        </w:rPr>
        <w:t>».</w:t>
      </w:r>
      <w:r w:rsidR="00842F67" w:rsidRPr="00F4096D">
        <w:rPr>
          <w:rFonts w:ascii="Bookman Old Style" w:hAnsi="Bookman Old Style" w:cs="Arial"/>
          <w:sz w:val="28"/>
          <w:szCs w:val="28"/>
        </w:rPr>
        <w:t xml:space="preserve"> Y, en lo que atañe con el pago de la prima, «</w:t>
      </w:r>
      <w:r w:rsidR="00842F67" w:rsidRPr="00F4096D">
        <w:rPr>
          <w:rFonts w:ascii="Bookman Old Style" w:hAnsi="Bookman Old Style" w:cs="Arial"/>
          <w:i/>
          <w:sz w:val="24"/>
          <w:szCs w:val="28"/>
        </w:rPr>
        <w:t>el plan que se pactó entre las partes correspondió al denominado "2.4 OCHO PAGOS" en donde el asegurado pagaría "primas por 8 años" con lo cual quedaría "asegurado hasta la edad de 80 años" generando valores de cesión automáticamente (</w:t>
      </w:r>
      <w:proofErr w:type="spellStart"/>
      <w:r w:rsidR="00842F67" w:rsidRPr="00F4096D">
        <w:rPr>
          <w:rFonts w:ascii="Bookman Old Style" w:hAnsi="Bookman Old Style" w:cs="Arial"/>
          <w:i/>
          <w:sz w:val="24"/>
          <w:szCs w:val="28"/>
        </w:rPr>
        <w:t>fl</w:t>
      </w:r>
      <w:proofErr w:type="spellEnd"/>
      <w:r w:rsidR="00842F67" w:rsidRPr="00F4096D">
        <w:rPr>
          <w:rFonts w:ascii="Bookman Old Style" w:hAnsi="Bookman Old Style" w:cs="Arial"/>
          <w:i/>
          <w:sz w:val="24"/>
          <w:szCs w:val="28"/>
        </w:rPr>
        <w:t>. 14, C.1)</w:t>
      </w:r>
      <w:r w:rsidR="00842F67" w:rsidRPr="00F4096D">
        <w:rPr>
          <w:rFonts w:ascii="Bookman Old Style" w:hAnsi="Bookman Old Style" w:cs="Arial"/>
          <w:sz w:val="28"/>
          <w:szCs w:val="28"/>
        </w:rPr>
        <w:t>».</w:t>
      </w:r>
    </w:p>
    <w:p w14:paraId="1C1BE2F1" w14:textId="77777777" w:rsidR="00F4096D" w:rsidRDefault="00F4096D" w:rsidP="00F92684">
      <w:pPr>
        <w:pStyle w:val="Sinespaciado"/>
        <w:spacing w:line="360" w:lineRule="auto"/>
        <w:ind w:firstLine="709"/>
        <w:jc w:val="both"/>
        <w:rPr>
          <w:rFonts w:ascii="Bookman Old Style" w:hAnsi="Bookman Old Style" w:cs="Arial"/>
          <w:sz w:val="28"/>
          <w:szCs w:val="28"/>
        </w:rPr>
      </w:pPr>
    </w:p>
    <w:p w14:paraId="79FC012A" w14:textId="34E1DA07" w:rsidR="00842F67" w:rsidRDefault="00842F67"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En ese orden de ideas, estimó que las partes pactaron explícitamente el término durante el cual el tomador debía pagar la prima –principal obligación-, </w:t>
      </w:r>
      <w:r w:rsidRPr="00F4096D">
        <w:rPr>
          <w:rFonts w:ascii="Bookman Old Style" w:hAnsi="Bookman Old Style" w:cs="Arial"/>
          <w:sz w:val="28"/>
          <w:szCs w:val="28"/>
        </w:rPr>
        <w:t>«</w:t>
      </w:r>
      <w:r w:rsidRPr="00F4096D">
        <w:rPr>
          <w:rFonts w:ascii="Bookman Old Style" w:hAnsi="Bookman Old Style" w:cs="Arial"/>
          <w:i/>
          <w:sz w:val="24"/>
          <w:szCs w:val="28"/>
        </w:rPr>
        <w:t>al señalarse que sería "por 8 años", deber de prestación que efectivamente cumplió el demandante al realizar el pago de aquella durante el tiempo y la forma estipulada, punto sobre el cual no se suscitó cuestionamiento alguno por parte de la convocada</w:t>
      </w:r>
      <w:r w:rsidRPr="00F4096D">
        <w:rPr>
          <w:rFonts w:ascii="Bookman Old Style" w:hAnsi="Bookman Old Style" w:cs="Arial"/>
          <w:i/>
          <w:sz w:val="28"/>
          <w:szCs w:val="28"/>
        </w:rPr>
        <w:t>».</w:t>
      </w:r>
      <w:r w:rsidR="00032FB2" w:rsidRPr="00F4096D">
        <w:rPr>
          <w:rFonts w:ascii="Bookman Old Style" w:hAnsi="Bookman Old Style" w:cs="Arial"/>
          <w:iCs/>
          <w:sz w:val="28"/>
          <w:szCs w:val="28"/>
        </w:rPr>
        <w:t xml:space="preserve"> </w:t>
      </w:r>
      <w:r w:rsidR="006C7D1F" w:rsidRPr="00F4096D">
        <w:rPr>
          <w:rFonts w:ascii="Bookman Old Style" w:hAnsi="Bookman Old Style" w:cs="Arial"/>
          <w:iCs/>
          <w:sz w:val="28"/>
          <w:szCs w:val="28"/>
        </w:rPr>
        <w:t xml:space="preserve">Dicha circunstancia, considera el Colegiado, no </w:t>
      </w:r>
      <w:r w:rsidR="00DD48DA" w:rsidRPr="005A1AD1">
        <w:rPr>
          <w:rFonts w:ascii="Bookman Old Style" w:hAnsi="Bookman Old Style" w:cs="Arial"/>
          <w:i/>
          <w:sz w:val="24"/>
          <w:szCs w:val="24"/>
        </w:rPr>
        <w:t>«autorizaba»</w:t>
      </w:r>
      <w:r w:rsidR="006C7D1F" w:rsidRPr="005A1AD1">
        <w:rPr>
          <w:rFonts w:ascii="Bookman Old Style" w:hAnsi="Bookman Old Style" w:cs="Arial"/>
          <w:sz w:val="24"/>
          <w:szCs w:val="24"/>
        </w:rPr>
        <w:t xml:space="preserve"> </w:t>
      </w:r>
      <w:r w:rsidR="006C7D1F" w:rsidRPr="00F4096D">
        <w:rPr>
          <w:rFonts w:ascii="Bookman Old Style" w:hAnsi="Bookman Old Style" w:cs="Arial"/>
          <w:sz w:val="28"/>
          <w:szCs w:val="28"/>
        </w:rPr>
        <w:t xml:space="preserve">a la aseguradora para </w:t>
      </w:r>
      <w:r w:rsidR="00F6106D" w:rsidRPr="00F4096D">
        <w:rPr>
          <w:rFonts w:ascii="Bookman Old Style" w:hAnsi="Bookman Old Style" w:cs="Arial"/>
          <w:sz w:val="28"/>
          <w:szCs w:val="28"/>
        </w:rPr>
        <w:t>aplicar lo</w:t>
      </w:r>
      <w:r w:rsidR="006C7D1F" w:rsidRPr="00F4096D">
        <w:rPr>
          <w:rFonts w:ascii="Bookman Old Style" w:hAnsi="Bookman Old Style" w:cs="Arial"/>
          <w:sz w:val="28"/>
          <w:szCs w:val="28"/>
        </w:rPr>
        <w:t xml:space="preserve"> estipulado en la cláusula 6.2 de las condiciones generales. Y es que «</w:t>
      </w:r>
      <w:r w:rsidR="006C7D1F" w:rsidRPr="00F4096D">
        <w:rPr>
          <w:rFonts w:ascii="Bookman Old Style" w:hAnsi="Bookman Old Style" w:cs="Arial"/>
          <w:i/>
          <w:sz w:val="24"/>
          <w:szCs w:val="28"/>
        </w:rPr>
        <w:t xml:space="preserve">no existe duda que el tomador del seguro honró la principal obligación que tenía frente a la aseguradora: pagar la prima "en la forma y tiempo debidos", si se considera que el demandante sufragó en su totalidad los ocho (8) pagos a que se comprometió en el negocio aseguraticio, de suerte que no le era dable a la aseguradora proceder a la "cancelación" de la póliza fundamentado ello en "el agotamiento de las reservas que se constituyeron para cumplir con el pago de las primas con el propósito de </w:t>
      </w:r>
      <w:r w:rsidR="006C7D1F" w:rsidRPr="00F4096D">
        <w:rPr>
          <w:rFonts w:ascii="Bookman Old Style" w:hAnsi="Bookman Old Style" w:cs="Arial"/>
          <w:i/>
          <w:sz w:val="24"/>
          <w:szCs w:val="28"/>
        </w:rPr>
        <w:lastRenderedPageBreak/>
        <w:t>mantener la cobertura del riesgo" (fi 55, C.1)</w:t>
      </w:r>
      <w:r w:rsidR="006C7D1F" w:rsidRPr="00F4096D">
        <w:rPr>
          <w:rFonts w:ascii="Bookman Old Style" w:hAnsi="Bookman Old Style" w:cs="Arial"/>
          <w:sz w:val="28"/>
          <w:szCs w:val="28"/>
        </w:rPr>
        <w:t>».</w:t>
      </w:r>
      <w:r w:rsidR="00C30C8C">
        <w:rPr>
          <w:rFonts w:ascii="Bookman Old Style" w:hAnsi="Bookman Old Style" w:cs="Arial"/>
          <w:sz w:val="28"/>
          <w:szCs w:val="28"/>
        </w:rPr>
        <w:t xml:space="preserve"> En otras palabras, si el asegurado cumplió en debida forma con el pago de las primas a las que se obligó, no era dable que la demandada ejecutara la cláusula 6.2, p</w:t>
      </w:r>
      <w:r w:rsidR="00D040FD">
        <w:rPr>
          <w:rFonts w:ascii="Bookman Old Style" w:hAnsi="Bookman Old Style" w:cs="Arial"/>
          <w:sz w:val="28"/>
          <w:szCs w:val="28"/>
        </w:rPr>
        <w:t>orque</w:t>
      </w:r>
      <w:r w:rsidR="00C30C8C">
        <w:rPr>
          <w:rFonts w:ascii="Bookman Old Style" w:hAnsi="Bookman Old Style" w:cs="Arial"/>
          <w:sz w:val="28"/>
          <w:szCs w:val="28"/>
        </w:rPr>
        <w:t xml:space="preserve"> no </w:t>
      </w:r>
      <w:r w:rsidR="00C30C8C" w:rsidRPr="00F4096D">
        <w:rPr>
          <w:rFonts w:ascii="Bookman Old Style" w:hAnsi="Bookman Old Style" w:cs="Arial"/>
          <w:sz w:val="28"/>
          <w:szCs w:val="28"/>
        </w:rPr>
        <w:t>hab</w:t>
      </w:r>
      <w:r w:rsidR="00292E2E" w:rsidRPr="00F4096D">
        <w:rPr>
          <w:rFonts w:ascii="Bookman Old Style" w:hAnsi="Bookman Old Style" w:cs="Arial"/>
          <w:sz w:val="28"/>
          <w:szCs w:val="28"/>
        </w:rPr>
        <w:t>ía</w:t>
      </w:r>
      <w:r w:rsidR="0018231C" w:rsidRPr="005A1AD1">
        <w:rPr>
          <w:rFonts w:ascii="Bookman Old Style" w:hAnsi="Bookman Old Style" w:cs="Arial"/>
          <w:sz w:val="28"/>
          <w:szCs w:val="28"/>
        </w:rPr>
        <w:t>n</w:t>
      </w:r>
      <w:r w:rsidR="00C30C8C" w:rsidRPr="00F4096D">
        <w:rPr>
          <w:rFonts w:ascii="Bookman Old Style" w:hAnsi="Bookman Old Style" w:cs="Arial"/>
          <w:sz w:val="28"/>
          <w:szCs w:val="28"/>
        </w:rPr>
        <w:t xml:space="preserve"> </w:t>
      </w:r>
      <w:r w:rsidR="00C30C8C">
        <w:rPr>
          <w:rFonts w:ascii="Bookman Old Style" w:hAnsi="Bookman Old Style" w:cs="Arial"/>
          <w:sz w:val="28"/>
          <w:szCs w:val="28"/>
        </w:rPr>
        <w:t xml:space="preserve">primas por cubrir. </w:t>
      </w:r>
    </w:p>
    <w:p w14:paraId="6704CD39" w14:textId="77777777" w:rsidR="00292E2E" w:rsidRDefault="00292E2E" w:rsidP="00F92684">
      <w:pPr>
        <w:pStyle w:val="Sinespaciado"/>
        <w:spacing w:line="360" w:lineRule="auto"/>
        <w:ind w:firstLine="709"/>
        <w:jc w:val="both"/>
        <w:rPr>
          <w:rFonts w:ascii="Bookman Old Style" w:hAnsi="Bookman Old Style" w:cs="Arial"/>
          <w:sz w:val="28"/>
          <w:szCs w:val="28"/>
        </w:rPr>
      </w:pPr>
    </w:p>
    <w:p w14:paraId="060F34D1" w14:textId="16DF14B6" w:rsidR="00716C7C" w:rsidRDefault="008C4A76" w:rsidP="00E3299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En cuanto a la defensa esgrimida por la convocada</w:t>
      </w:r>
      <w:r w:rsidR="00DC04CB">
        <w:rPr>
          <w:rFonts w:ascii="Bookman Old Style" w:hAnsi="Bookman Old Style" w:cs="Arial"/>
          <w:sz w:val="28"/>
          <w:szCs w:val="28"/>
        </w:rPr>
        <w:t>,</w:t>
      </w:r>
      <w:r>
        <w:rPr>
          <w:rFonts w:ascii="Bookman Old Style" w:hAnsi="Bookman Old Style" w:cs="Arial"/>
          <w:sz w:val="28"/>
          <w:szCs w:val="28"/>
        </w:rPr>
        <w:t xml:space="preserve"> en lo concerniente a la constitución de un fondo de protección (valor de cesión o rescate)</w:t>
      </w:r>
      <w:r w:rsidR="00DC04CB">
        <w:rPr>
          <w:rFonts w:ascii="Bookman Old Style" w:hAnsi="Bookman Old Style" w:cs="Arial"/>
          <w:sz w:val="28"/>
          <w:szCs w:val="28"/>
        </w:rPr>
        <w:t>, se</w:t>
      </w:r>
      <w:r>
        <w:rPr>
          <w:rFonts w:ascii="Bookman Old Style" w:hAnsi="Bookman Old Style" w:cs="Arial"/>
          <w:sz w:val="28"/>
          <w:szCs w:val="28"/>
        </w:rPr>
        <w:t xml:space="preserve"> evidenció </w:t>
      </w:r>
      <w:r w:rsidRPr="00F4096D">
        <w:rPr>
          <w:rFonts w:ascii="Bookman Old Style" w:hAnsi="Bookman Old Style" w:cs="Arial"/>
          <w:sz w:val="28"/>
          <w:szCs w:val="28"/>
        </w:rPr>
        <w:t>que «</w:t>
      </w:r>
      <w:r w:rsidRPr="00F4096D">
        <w:rPr>
          <w:rFonts w:ascii="Bookman Old Style" w:hAnsi="Bookman Old Style" w:cs="Arial"/>
          <w:i/>
          <w:sz w:val="24"/>
          <w:szCs w:val="28"/>
        </w:rPr>
        <w:t>en la póliza no aparece que con la suma que se obligó el demandante a sufragar por concepto de primas (8 cuotas por 8 años), se conformaría un fondo, a partir del cual, según una proyección del "24%" anual de rendimiento "sujetas a la variación de las tasas de interés del mercado" se sufragarían las primas subsiguientes para mantenerse el seguro de vida hasta los 80 años de edad</w:t>
      </w:r>
      <w:r w:rsidRPr="00F4096D">
        <w:rPr>
          <w:rFonts w:ascii="Bookman Old Style" w:hAnsi="Bookman Old Style" w:cs="Arial"/>
          <w:sz w:val="28"/>
          <w:szCs w:val="28"/>
        </w:rPr>
        <w:t>».</w:t>
      </w:r>
      <w:r>
        <w:rPr>
          <w:rFonts w:ascii="Bookman Old Style" w:hAnsi="Bookman Old Style" w:cs="Arial"/>
          <w:sz w:val="28"/>
          <w:szCs w:val="28"/>
        </w:rPr>
        <w:t xml:space="preserve"> Por el contrario, lo pactado fue que el pago de las primas se haría en 8 desembolsos, en los que el tomador </w:t>
      </w:r>
      <w:r w:rsidR="00162282" w:rsidRPr="00216231">
        <w:rPr>
          <w:rFonts w:ascii="Bookman Old Style" w:hAnsi="Bookman Old Style" w:cs="Arial"/>
          <w:sz w:val="28"/>
          <w:szCs w:val="28"/>
        </w:rPr>
        <w:t>sufragaría</w:t>
      </w:r>
      <w:r w:rsidRPr="00162282">
        <w:rPr>
          <w:rFonts w:ascii="Bookman Old Style" w:hAnsi="Bookman Old Style" w:cs="Arial"/>
          <w:color w:val="FF0000"/>
          <w:sz w:val="28"/>
          <w:szCs w:val="28"/>
        </w:rPr>
        <w:t xml:space="preserve"> </w:t>
      </w:r>
      <w:r>
        <w:rPr>
          <w:rFonts w:ascii="Bookman Old Style" w:hAnsi="Bookman Old Style" w:cs="Arial"/>
          <w:sz w:val="28"/>
          <w:szCs w:val="28"/>
        </w:rPr>
        <w:t xml:space="preserve">el valor total de la prima en 8 pagos. </w:t>
      </w:r>
    </w:p>
    <w:p w14:paraId="05F8382E" w14:textId="77777777" w:rsidR="007704EA" w:rsidRDefault="007704EA" w:rsidP="00E32994">
      <w:pPr>
        <w:pStyle w:val="Sinespaciado"/>
        <w:spacing w:line="360" w:lineRule="auto"/>
        <w:ind w:firstLine="709"/>
        <w:jc w:val="both"/>
        <w:rPr>
          <w:rFonts w:ascii="Bookman Old Style" w:hAnsi="Bookman Old Style" w:cs="Arial"/>
          <w:sz w:val="28"/>
          <w:szCs w:val="28"/>
        </w:rPr>
      </w:pPr>
    </w:p>
    <w:p w14:paraId="63959A4D" w14:textId="198DDB75" w:rsidR="00292E2E" w:rsidRPr="00F15702" w:rsidRDefault="008C4A76"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Así mismo, verificada la cotización remitida al </w:t>
      </w:r>
      <w:r w:rsidRPr="00F4096D">
        <w:rPr>
          <w:rFonts w:ascii="Bookman Old Style" w:hAnsi="Bookman Old Style" w:cs="Arial"/>
          <w:sz w:val="28"/>
          <w:szCs w:val="28"/>
        </w:rPr>
        <w:t>demandante, «</w:t>
      </w:r>
      <w:r w:rsidRPr="00F4096D">
        <w:rPr>
          <w:rFonts w:ascii="Bookman Old Style" w:hAnsi="Bookman Old Style" w:cs="Arial"/>
          <w:i/>
          <w:sz w:val="24"/>
          <w:szCs w:val="28"/>
        </w:rPr>
        <w:t>obrante a folios 133 a 134 de la encuadernación principal, no aparece que en el mismo se haya establecido lo alegado por la pasiva</w:t>
      </w:r>
      <w:r w:rsidRPr="00F4096D">
        <w:rPr>
          <w:rFonts w:ascii="Bookman Old Style" w:hAnsi="Bookman Old Style" w:cs="Arial"/>
          <w:sz w:val="28"/>
          <w:szCs w:val="28"/>
        </w:rPr>
        <w:t>».</w:t>
      </w:r>
      <w:r w:rsidR="00716C7C" w:rsidRPr="00F4096D">
        <w:rPr>
          <w:rFonts w:ascii="Bookman Old Style" w:hAnsi="Bookman Old Style" w:cs="Arial"/>
          <w:sz w:val="28"/>
          <w:szCs w:val="28"/>
        </w:rPr>
        <w:t xml:space="preserve"> Lo que observa es que «</w:t>
      </w:r>
      <w:r w:rsidR="00716C7C" w:rsidRPr="00F4096D">
        <w:rPr>
          <w:rFonts w:ascii="Bookman Old Style" w:hAnsi="Bookman Old Style" w:cs="Arial"/>
          <w:i/>
          <w:sz w:val="24"/>
          <w:szCs w:val="28"/>
        </w:rPr>
        <w:t>el asegurado haría ocho (8) únicos pagos, con los cuales se cubriría el total de las primas de riesgo, generando con ello un valor de cesión el cual fue calculado hasta el año 2043, con un rendimiento del 24%. Además, no se señala que una vez vencida la octava anualidad de la póliza con el pago No 8, existirían más primas de riesgo o protección por cubrir por parte del tomador, y que si las mismas no eran satisfechas dentro de determinado plazo (pues al respecto nada se dijo) aquellas se cubrirían con los valores de cesión acumulados. Y por último, tampoco se observa una prima de ahorro y proyección de ahorro</w:t>
      </w:r>
      <w:r w:rsidR="00716C7C" w:rsidRPr="00F4096D">
        <w:rPr>
          <w:rFonts w:ascii="Bookman Old Style" w:hAnsi="Bookman Old Style" w:cs="Arial"/>
          <w:sz w:val="28"/>
          <w:szCs w:val="28"/>
        </w:rPr>
        <w:t>».</w:t>
      </w:r>
      <w:r w:rsidR="00F15702">
        <w:rPr>
          <w:rFonts w:ascii="Bookman Old Style" w:hAnsi="Bookman Old Style" w:cs="Arial"/>
          <w:sz w:val="28"/>
          <w:szCs w:val="28"/>
        </w:rPr>
        <w:t xml:space="preserve"> </w:t>
      </w:r>
      <w:r w:rsidR="00FA7CE4">
        <w:rPr>
          <w:rFonts w:ascii="Bookman Old Style" w:hAnsi="Bookman Old Style" w:cs="Arial"/>
          <w:sz w:val="28"/>
          <w:szCs w:val="28"/>
        </w:rPr>
        <w:t>A</w:t>
      </w:r>
      <w:r w:rsidR="00F15702">
        <w:rPr>
          <w:rFonts w:ascii="Bookman Old Style" w:hAnsi="Bookman Old Style" w:cs="Arial"/>
          <w:sz w:val="28"/>
          <w:szCs w:val="28"/>
        </w:rPr>
        <w:t xml:space="preserve">sí las cosas, para el </w:t>
      </w:r>
      <w:r w:rsidR="00F15702">
        <w:rPr>
          <w:rFonts w:ascii="Bookman Old Style" w:hAnsi="Bookman Old Style" w:cs="Arial"/>
          <w:i/>
          <w:sz w:val="28"/>
          <w:szCs w:val="28"/>
        </w:rPr>
        <w:t>ad quem</w:t>
      </w:r>
      <w:r w:rsidR="00F15702">
        <w:rPr>
          <w:rFonts w:ascii="Bookman Old Style" w:hAnsi="Bookman Old Style" w:cs="Arial"/>
          <w:sz w:val="28"/>
          <w:szCs w:val="28"/>
        </w:rPr>
        <w:t xml:space="preserve"> es claro </w:t>
      </w:r>
      <w:r w:rsidR="00F15702">
        <w:rPr>
          <w:rFonts w:ascii="Bookman Old Style" w:hAnsi="Bookman Old Style" w:cs="Arial"/>
          <w:sz w:val="28"/>
          <w:szCs w:val="28"/>
        </w:rPr>
        <w:lastRenderedPageBreak/>
        <w:t xml:space="preserve">que la aseguradora infringió el contrato de seguro al </w:t>
      </w:r>
      <w:r w:rsidR="00FA7CE4" w:rsidRPr="007225E4">
        <w:rPr>
          <w:rFonts w:ascii="Bookman Old Style" w:hAnsi="Bookman Old Style" w:cs="Arial"/>
          <w:i/>
          <w:iCs/>
          <w:sz w:val="24"/>
          <w:szCs w:val="24"/>
        </w:rPr>
        <w:t>«</w:t>
      </w:r>
      <w:r w:rsidR="00F15702" w:rsidRPr="007225E4">
        <w:rPr>
          <w:rFonts w:ascii="Bookman Old Style" w:hAnsi="Bookman Old Style" w:cs="Arial"/>
          <w:i/>
          <w:iCs/>
          <w:sz w:val="24"/>
          <w:szCs w:val="24"/>
        </w:rPr>
        <w:t>cancelarlo</w:t>
      </w:r>
      <w:r w:rsidR="00FA7CE4" w:rsidRPr="007225E4">
        <w:rPr>
          <w:rFonts w:ascii="Bookman Old Style" w:hAnsi="Bookman Old Style" w:cs="Arial"/>
          <w:i/>
          <w:iCs/>
          <w:sz w:val="24"/>
          <w:szCs w:val="24"/>
        </w:rPr>
        <w:t>»</w:t>
      </w:r>
      <w:r w:rsidR="00D040FD">
        <w:rPr>
          <w:rFonts w:ascii="Bookman Old Style" w:hAnsi="Bookman Old Style" w:cs="Arial"/>
          <w:i/>
          <w:iCs/>
          <w:sz w:val="24"/>
          <w:szCs w:val="24"/>
        </w:rPr>
        <w:t>,</w:t>
      </w:r>
      <w:r w:rsidR="00F15702">
        <w:rPr>
          <w:rFonts w:ascii="Bookman Old Style" w:hAnsi="Bookman Old Style" w:cs="Arial"/>
          <w:sz w:val="28"/>
          <w:szCs w:val="28"/>
        </w:rPr>
        <w:t xml:space="preserve"> sin existir causa legal ni contractual que respaldara tal determinación. </w:t>
      </w:r>
      <w:r w:rsidR="00402E2E">
        <w:rPr>
          <w:rFonts w:ascii="Bookman Old Style" w:hAnsi="Bookman Old Style" w:cs="Arial"/>
          <w:sz w:val="28"/>
          <w:szCs w:val="28"/>
        </w:rPr>
        <w:t xml:space="preserve"> </w:t>
      </w:r>
    </w:p>
    <w:p w14:paraId="28B90646" w14:textId="77777777" w:rsidR="00AC1F2B" w:rsidRPr="004F1D1F" w:rsidRDefault="00AC1F2B" w:rsidP="00F92684">
      <w:pPr>
        <w:pStyle w:val="Sinespaciado"/>
        <w:spacing w:line="360" w:lineRule="auto"/>
        <w:jc w:val="both"/>
        <w:rPr>
          <w:rFonts w:ascii="Bookman Old Style" w:hAnsi="Bookman Old Style" w:cs="Arial"/>
          <w:sz w:val="28"/>
          <w:szCs w:val="28"/>
        </w:rPr>
      </w:pPr>
    </w:p>
    <w:p w14:paraId="119F182B" w14:textId="594CD00C" w:rsidR="00174674" w:rsidRPr="004F1D1F" w:rsidRDefault="005F10DF" w:rsidP="0017009D">
      <w:pPr>
        <w:pStyle w:val="Sinespaciado"/>
        <w:numPr>
          <w:ilvl w:val="0"/>
          <w:numId w:val="23"/>
        </w:numPr>
        <w:spacing w:line="360" w:lineRule="auto"/>
        <w:ind w:left="0" w:firstLine="0"/>
        <w:jc w:val="center"/>
        <w:rPr>
          <w:rFonts w:ascii="Bookman Old Style" w:hAnsi="Bookman Old Style" w:cs="Arial"/>
          <w:b/>
          <w:sz w:val="28"/>
          <w:szCs w:val="28"/>
        </w:rPr>
      </w:pPr>
      <w:r w:rsidRPr="004F1D1F">
        <w:rPr>
          <w:rFonts w:ascii="Bookman Old Style" w:hAnsi="Bookman Old Style" w:cs="Arial"/>
          <w:b/>
          <w:sz w:val="28"/>
          <w:szCs w:val="28"/>
        </w:rPr>
        <w:t>LA DEMANDA DE CASACIÓN</w:t>
      </w:r>
    </w:p>
    <w:p w14:paraId="65C7017D" w14:textId="5F7F2D0F" w:rsidR="003E4CD8" w:rsidRDefault="003E4CD8" w:rsidP="00F92684">
      <w:pPr>
        <w:pStyle w:val="Sinespaciado"/>
        <w:spacing w:line="360" w:lineRule="auto"/>
        <w:jc w:val="both"/>
        <w:rPr>
          <w:rFonts w:ascii="Bookman Old Style" w:hAnsi="Bookman Old Style" w:cs="Arial"/>
          <w:sz w:val="28"/>
          <w:szCs w:val="28"/>
        </w:rPr>
      </w:pPr>
    </w:p>
    <w:p w14:paraId="2CF0920F" w14:textId="5B90BF08" w:rsidR="00F6053D" w:rsidRPr="00F6053D" w:rsidRDefault="00402E2E"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S</w:t>
      </w:r>
      <w:r w:rsidR="00F6053D">
        <w:rPr>
          <w:rFonts w:ascii="Bookman Old Style" w:hAnsi="Bookman Old Style" w:cs="Arial"/>
          <w:sz w:val="28"/>
          <w:szCs w:val="28"/>
        </w:rPr>
        <w:t xml:space="preserve">e estudiarán delanteramente los cargos primero y tercero. </w:t>
      </w:r>
      <w:r>
        <w:rPr>
          <w:rFonts w:ascii="Bookman Old Style" w:hAnsi="Bookman Old Style" w:cs="Arial"/>
          <w:sz w:val="28"/>
          <w:szCs w:val="28"/>
        </w:rPr>
        <w:t>Se terminará con el análisis del segundo.</w:t>
      </w:r>
    </w:p>
    <w:p w14:paraId="67421790" w14:textId="77777777" w:rsidR="00F6053D" w:rsidRPr="004F1D1F" w:rsidRDefault="00F6053D" w:rsidP="00F92684">
      <w:pPr>
        <w:pStyle w:val="Sinespaciado"/>
        <w:spacing w:line="360" w:lineRule="auto"/>
        <w:jc w:val="both"/>
        <w:rPr>
          <w:rFonts w:ascii="Bookman Old Style" w:hAnsi="Bookman Old Style" w:cs="Arial"/>
          <w:sz w:val="28"/>
          <w:szCs w:val="28"/>
        </w:rPr>
      </w:pPr>
    </w:p>
    <w:p w14:paraId="246ECF86" w14:textId="65400918" w:rsidR="003C7E10" w:rsidRPr="00A17175" w:rsidRDefault="00823EDA" w:rsidP="004554F6">
      <w:pPr>
        <w:pStyle w:val="Sinespaciado"/>
        <w:spacing w:line="360" w:lineRule="auto"/>
        <w:jc w:val="center"/>
        <w:rPr>
          <w:rFonts w:ascii="Bookman Old Style" w:hAnsi="Bookman Old Style" w:cs="Arial"/>
          <w:b/>
          <w:sz w:val="28"/>
          <w:szCs w:val="28"/>
        </w:rPr>
      </w:pPr>
      <w:r w:rsidRPr="00A17175">
        <w:rPr>
          <w:rFonts w:ascii="Bookman Old Style" w:hAnsi="Bookman Old Style" w:cs="Arial"/>
          <w:b/>
          <w:sz w:val="28"/>
          <w:szCs w:val="28"/>
        </w:rPr>
        <w:t>PRIMER CARGO</w:t>
      </w:r>
    </w:p>
    <w:p w14:paraId="4A1C1CF3" w14:textId="77777777" w:rsidR="003C7E10" w:rsidRPr="004F1D1F" w:rsidRDefault="003C7E10" w:rsidP="00F92684">
      <w:pPr>
        <w:pStyle w:val="Sinespaciado"/>
        <w:spacing w:line="360" w:lineRule="auto"/>
        <w:ind w:firstLine="709"/>
        <w:jc w:val="both"/>
        <w:rPr>
          <w:rFonts w:ascii="Bookman Old Style" w:hAnsi="Bookman Old Style" w:cs="Arial"/>
          <w:sz w:val="28"/>
          <w:szCs w:val="28"/>
        </w:rPr>
      </w:pPr>
    </w:p>
    <w:p w14:paraId="27639087" w14:textId="28FE3D9A" w:rsidR="00F86C5E" w:rsidRDefault="00823EDA" w:rsidP="00ED5A45">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Al amparo de la causal quinta de casaci</w:t>
      </w:r>
      <w:r w:rsidR="003151B5">
        <w:rPr>
          <w:rFonts w:ascii="Bookman Old Style" w:hAnsi="Bookman Old Style" w:cs="Arial"/>
          <w:sz w:val="28"/>
          <w:szCs w:val="28"/>
        </w:rPr>
        <w:t xml:space="preserve">ón, acusó la sentencia de segundo grado de estar afectada de una nulidad procesal insaneable. En particular, al tenor del artículo 121 del Código General del Proceso, dicha providencia fue proferida luego de que hubiera fenecido el término de duración del proceso y su prórroga en segunda instancia. </w:t>
      </w:r>
      <w:r w:rsidR="0042115D">
        <w:rPr>
          <w:rFonts w:ascii="Bookman Old Style" w:hAnsi="Bookman Old Style" w:cs="Arial"/>
          <w:sz w:val="28"/>
          <w:szCs w:val="28"/>
        </w:rPr>
        <w:t xml:space="preserve"> </w:t>
      </w:r>
      <w:r w:rsidR="00E03F31">
        <w:rPr>
          <w:rFonts w:ascii="Bookman Old Style" w:hAnsi="Bookman Old Style" w:cs="Arial"/>
          <w:sz w:val="28"/>
          <w:szCs w:val="28"/>
        </w:rPr>
        <w:t xml:space="preserve">Indicó que el expediente llegó al juez colegiado el </w:t>
      </w:r>
      <w:r w:rsidR="00273136">
        <w:rPr>
          <w:rFonts w:ascii="Bookman Old Style" w:hAnsi="Bookman Old Style" w:cs="Arial"/>
          <w:sz w:val="28"/>
          <w:szCs w:val="28"/>
        </w:rPr>
        <w:t>26</w:t>
      </w:r>
      <w:r w:rsidR="00E03F31">
        <w:rPr>
          <w:rFonts w:ascii="Bookman Old Style" w:hAnsi="Bookman Old Style" w:cs="Arial"/>
          <w:sz w:val="28"/>
          <w:szCs w:val="28"/>
        </w:rPr>
        <w:t xml:space="preserve"> de </w:t>
      </w:r>
      <w:r w:rsidR="00273136">
        <w:rPr>
          <w:rFonts w:ascii="Bookman Old Style" w:hAnsi="Bookman Old Style" w:cs="Arial"/>
          <w:sz w:val="28"/>
          <w:szCs w:val="28"/>
        </w:rPr>
        <w:t>octubre</w:t>
      </w:r>
      <w:r w:rsidR="00E03F31">
        <w:rPr>
          <w:rFonts w:ascii="Bookman Old Style" w:hAnsi="Bookman Old Style" w:cs="Arial"/>
          <w:sz w:val="28"/>
          <w:szCs w:val="28"/>
        </w:rPr>
        <w:t xml:space="preserve"> de </w:t>
      </w:r>
      <w:r w:rsidR="00273136">
        <w:rPr>
          <w:rFonts w:ascii="Bookman Old Style" w:hAnsi="Bookman Old Style" w:cs="Arial"/>
          <w:sz w:val="28"/>
          <w:szCs w:val="28"/>
        </w:rPr>
        <w:t>2016</w:t>
      </w:r>
      <w:r w:rsidR="00E03F31">
        <w:rPr>
          <w:rFonts w:ascii="Bookman Old Style" w:hAnsi="Bookman Old Style" w:cs="Arial"/>
          <w:sz w:val="28"/>
          <w:szCs w:val="28"/>
        </w:rPr>
        <w:t xml:space="preserve">, por lo que </w:t>
      </w:r>
      <w:r w:rsidR="00D040FD">
        <w:rPr>
          <w:rFonts w:ascii="Bookman Old Style" w:hAnsi="Bookman Old Style" w:cs="Arial"/>
          <w:sz w:val="28"/>
          <w:szCs w:val="28"/>
        </w:rPr>
        <w:t xml:space="preserve">el </w:t>
      </w:r>
      <w:r w:rsidR="00E03F31">
        <w:rPr>
          <w:rFonts w:ascii="Bookman Old Style" w:hAnsi="Bookman Old Style" w:cs="Arial"/>
          <w:sz w:val="28"/>
          <w:szCs w:val="28"/>
        </w:rPr>
        <w:t xml:space="preserve">término de 6 meses fenecía, en principio, el 26 de </w:t>
      </w:r>
      <w:r w:rsidR="00273136">
        <w:rPr>
          <w:rFonts w:ascii="Bookman Old Style" w:hAnsi="Bookman Old Style" w:cs="Arial"/>
          <w:sz w:val="28"/>
          <w:szCs w:val="28"/>
        </w:rPr>
        <w:t>abril</w:t>
      </w:r>
      <w:r w:rsidR="00E03F31">
        <w:rPr>
          <w:rFonts w:ascii="Bookman Old Style" w:hAnsi="Bookman Old Style" w:cs="Arial"/>
          <w:sz w:val="28"/>
          <w:szCs w:val="28"/>
        </w:rPr>
        <w:t xml:space="preserve"> de 2017</w:t>
      </w:r>
      <w:r w:rsidR="00E03F31" w:rsidRPr="004C7908">
        <w:rPr>
          <w:rFonts w:ascii="Bookman Old Style" w:hAnsi="Bookman Old Style" w:cs="Arial"/>
          <w:sz w:val="28"/>
          <w:szCs w:val="28"/>
        </w:rPr>
        <w:t xml:space="preserve">. </w:t>
      </w:r>
      <w:r w:rsidR="00273136" w:rsidRPr="004C7908">
        <w:rPr>
          <w:rFonts w:ascii="Bookman Old Style" w:hAnsi="Bookman Old Style" w:cs="Arial"/>
          <w:sz w:val="28"/>
          <w:szCs w:val="28"/>
        </w:rPr>
        <w:t>Sin embargo,</w:t>
      </w:r>
      <w:r w:rsidR="00273136">
        <w:rPr>
          <w:rFonts w:ascii="Bookman Old Style" w:hAnsi="Bookman Old Style" w:cs="Arial"/>
          <w:sz w:val="28"/>
          <w:szCs w:val="28"/>
        </w:rPr>
        <w:t xml:space="preserve"> «</w:t>
      </w:r>
      <w:r w:rsidR="00273136" w:rsidRPr="00F4096D">
        <w:rPr>
          <w:rFonts w:ascii="Bookman Old Style" w:hAnsi="Bookman Old Style" w:cs="Arial"/>
          <w:i/>
          <w:sz w:val="24"/>
          <w:szCs w:val="28"/>
        </w:rPr>
        <w:t>mediante auto del 25 de abril de 2017, notificado el 26 de abril de 2017, el Honorable Magistrado Sustanciador, al abrigo del artículo 121 del Código General del Proceso, decidió prorrogar por seis (6) meses el término de duración de la segunda instancia, con lo cual el término máximo para proferir el fallo de segundo grado vencía el 26 de octubre de 2017</w:t>
      </w:r>
      <w:r w:rsidR="00273136" w:rsidRPr="00F4096D">
        <w:rPr>
          <w:rFonts w:ascii="Bookman Old Style" w:hAnsi="Bookman Old Style" w:cs="Arial"/>
          <w:sz w:val="28"/>
          <w:szCs w:val="28"/>
        </w:rPr>
        <w:t>».</w:t>
      </w:r>
      <w:r w:rsidR="00386B97">
        <w:rPr>
          <w:rFonts w:ascii="Bookman Old Style" w:hAnsi="Bookman Old Style" w:cs="Arial"/>
          <w:sz w:val="28"/>
          <w:szCs w:val="28"/>
        </w:rPr>
        <w:t xml:space="preserve"> </w:t>
      </w:r>
      <w:r w:rsidR="004C7908">
        <w:rPr>
          <w:rFonts w:ascii="Bookman Old Style" w:hAnsi="Bookman Old Style" w:cs="Arial"/>
          <w:sz w:val="28"/>
          <w:szCs w:val="28"/>
        </w:rPr>
        <w:t>Pese a lo anterior,</w:t>
      </w:r>
      <w:r w:rsidR="00386B97">
        <w:rPr>
          <w:rFonts w:ascii="Bookman Old Style" w:hAnsi="Bookman Old Style" w:cs="Arial"/>
          <w:sz w:val="28"/>
          <w:szCs w:val="28"/>
        </w:rPr>
        <w:t xml:space="preserve"> llegada esa fecha</w:t>
      </w:r>
      <w:r w:rsidR="00D040FD">
        <w:rPr>
          <w:rFonts w:ascii="Bookman Old Style" w:hAnsi="Bookman Old Style" w:cs="Arial"/>
          <w:sz w:val="28"/>
          <w:szCs w:val="28"/>
        </w:rPr>
        <w:t>,</w:t>
      </w:r>
      <w:r w:rsidR="00386B97">
        <w:rPr>
          <w:rFonts w:ascii="Bookman Old Style" w:hAnsi="Bookman Old Style" w:cs="Arial"/>
          <w:sz w:val="28"/>
          <w:szCs w:val="28"/>
        </w:rPr>
        <w:t xml:space="preserve"> tampoco se profirió el fallo. El 24 de enero de 2018, con ocasión de un memorial presentado por el demandante</w:t>
      </w:r>
      <w:r w:rsidR="00D040FD">
        <w:rPr>
          <w:rFonts w:ascii="Bookman Old Style" w:hAnsi="Bookman Old Style" w:cs="Arial"/>
          <w:sz w:val="28"/>
          <w:szCs w:val="28"/>
        </w:rPr>
        <w:t xml:space="preserve"> -</w:t>
      </w:r>
      <w:r w:rsidR="00386B97">
        <w:rPr>
          <w:rFonts w:ascii="Bookman Old Style" w:hAnsi="Bookman Old Style" w:cs="Arial"/>
          <w:sz w:val="28"/>
          <w:szCs w:val="28"/>
        </w:rPr>
        <w:t xml:space="preserve"> que </w:t>
      </w:r>
      <w:r w:rsidR="00653D95" w:rsidRPr="00F4096D">
        <w:rPr>
          <w:rFonts w:ascii="Bookman Old Style" w:hAnsi="Bookman Old Style" w:cs="Arial"/>
          <w:sz w:val="28"/>
          <w:szCs w:val="28"/>
        </w:rPr>
        <w:t>solicitó</w:t>
      </w:r>
      <w:r w:rsidR="00386B97" w:rsidRPr="00F4096D">
        <w:rPr>
          <w:rFonts w:ascii="Bookman Old Style" w:hAnsi="Bookman Old Style" w:cs="Arial"/>
          <w:sz w:val="28"/>
          <w:szCs w:val="28"/>
        </w:rPr>
        <w:t xml:space="preserve"> </w:t>
      </w:r>
      <w:r w:rsidR="00386B97">
        <w:rPr>
          <w:rFonts w:ascii="Bookman Old Style" w:hAnsi="Bookman Old Style" w:cs="Arial"/>
          <w:sz w:val="28"/>
          <w:szCs w:val="28"/>
        </w:rPr>
        <w:t>aplicar el canon 121 del Código General del Proceso</w:t>
      </w:r>
      <w:r w:rsidR="00D040FD">
        <w:rPr>
          <w:rFonts w:ascii="Bookman Old Style" w:hAnsi="Bookman Old Style" w:cs="Arial"/>
          <w:sz w:val="28"/>
          <w:szCs w:val="28"/>
        </w:rPr>
        <w:t>-</w:t>
      </w:r>
      <w:r w:rsidR="00386B97">
        <w:rPr>
          <w:rFonts w:ascii="Bookman Old Style" w:hAnsi="Bookman Old Style" w:cs="Arial"/>
          <w:sz w:val="28"/>
          <w:szCs w:val="28"/>
        </w:rPr>
        <w:t xml:space="preserve">, </w:t>
      </w:r>
      <w:r w:rsidR="00047E46">
        <w:rPr>
          <w:rFonts w:ascii="Bookman Old Style" w:hAnsi="Bookman Old Style" w:cs="Arial"/>
          <w:sz w:val="28"/>
          <w:szCs w:val="28"/>
        </w:rPr>
        <w:t>la</w:t>
      </w:r>
      <w:r w:rsidR="00386B97">
        <w:rPr>
          <w:rFonts w:ascii="Bookman Old Style" w:hAnsi="Bookman Old Style" w:cs="Arial"/>
          <w:sz w:val="28"/>
          <w:szCs w:val="28"/>
        </w:rPr>
        <w:t xml:space="preserve"> Magistrada Sustanciadora negó la petición</w:t>
      </w:r>
      <w:r w:rsidR="007977AE">
        <w:rPr>
          <w:rFonts w:ascii="Bookman Old Style" w:hAnsi="Bookman Old Style" w:cs="Arial"/>
          <w:sz w:val="28"/>
          <w:szCs w:val="28"/>
        </w:rPr>
        <w:t>. C</w:t>
      </w:r>
      <w:r w:rsidR="004F11D2" w:rsidRPr="00F4096D">
        <w:rPr>
          <w:rFonts w:ascii="Bookman Old Style" w:hAnsi="Bookman Old Style" w:cs="Arial"/>
          <w:sz w:val="28"/>
          <w:szCs w:val="28"/>
        </w:rPr>
        <w:t>onsideró</w:t>
      </w:r>
      <w:r w:rsidR="00386B97" w:rsidRPr="004F11D2">
        <w:rPr>
          <w:rFonts w:ascii="Bookman Old Style" w:hAnsi="Bookman Old Style" w:cs="Arial"/>
          <w:color w:val="FF0000"/>
          <w:sz w:val="28"/>
          <w:szCs w:val="28"/>
        </w:rPr>
        <w:t xml:space="preserve"> </w:t>
      </w:r>
      <w:r w:rsidR="00386B97">
        <w:rPr>
          <w:rFonts w:ascii="Bookman Old Style" w:hAnsi="Bookman Old Style" w:cs="Arial"/>
          <w:sz w:val="28"/>
          <w:szCs w:val="28"/>
        </w:rPr>
        <w:t xml:space="preserve">que, al haberse </w:t>
      </w:r>
      <w:r w:rsidR="00386B97">
        <w:rPr>
          <w:rFonts w:ascii="Bookman Old Style" w:hAnsi="Bookman Old Style" w:cs="Arial"/>
          <w:sz w:val="28"/>
          <w:szCs w:val="28"/>
        </w:rPr>
        <w:lastRenderedPageBreak/>
        <w:t xml:space="preserve">posesionado el 1 de septiembre del 2017, </w:t>
      </w:r>
      <w:r w:rsidR="00386B97" w:rsidRPr="00F4096D">
        <w:rPr>
          <w:rFonts w:ascii="Bookman Old Style" w:hAnsi="Bookman Old Style" w:cs="Arial"/>
          <w:sz w:val="28"/>
          <w:szCs w:val="28"/>
        </w:rPr>
        <w:t>«</w:t>
      </w:r>
      <w:r w:rsidR="00386B97" w:rsidRPr="00F4096D">
        <w:rPr>
          <w:rFonts w:ascii="Bookman Old Style" w:hAnsi="Bookman Old Style" w:cs="Arial"/>
          <w:i/>
          <w:sz w:val="24"/>
          <w:szCs w:val="28"/>
        </w:rPr>
        <w:t xml:space="preserve">tiene como termino máximo </w:t>
      </w:r>
      <w:r w:rsidR="00F86C5E" w:rsidRPr="00F4096D">
        <w:rPr>
          <w:rFonts w:ascii="Bookman Old Style" w:hAnsi="Bookman Old Style" w:cs="Arial"/>
          <w:i/>
          <w:sz w:val="24"/>
          <w:szCs w:val="28"/>
        </w:rPr>
        <w:t>para pronunciase el 1</w:t>
      </w:r>
      <w:r w:rsidR="00386B97" w:rsidRPr="00F4096D">
        <w:rPr>
          <w:rFonts w:ascii="Bookman Old Style" w:hAnsi="Bookman Old Style" w:cs="Arial"/>
          <w:i/>
          <w:sz w:val="24"/>
          <w:szCs w:val="28"/>
        </w:rPr>
        <w:t xml:space="preserve"> de marzo de 2018</w:t>
      </w:r>
      <w:r w:rsidR="00386B97" w:rsidRPr="00F4096D">
        <w:rPr>
          <w:rFonts w:ascii="Bookman Old Style" w:hAnsi="Bookman Old Style" w:cs="Arial"/>
          <w:sz w:val="28"/>
          <w:szCs w:val="28"/>
        </w:rPr>
        <w:t>».</w:t>
      </w:r>
      <w:r w:rsidR="00ED5A45">
        <w:rPr>
          <w:rFonts w:ascii="Bookman Old Style" w:hAnsi="Bookman Old Style" w:cs="Arial"/>
          <w:sz w:val="28"/>
          <w:szCs w:val="28"/>
        </w:rPr>
        <w:t xml:space="preserve"> </w:t>
      </w:r>
      <w:r w:rsidR="00F86C5E">
        <w:rPr>
          <w:rFonts w:ascii="Bookman Old Style" w:hAnsi="Bookman Old Style" w:cs="Arial"/>
          <w:sz w:val="28"/>
          <w:szCs w:val="28"/>
        </w:rPr>
        <w:t xml:space="preserve">En ese orden, </w:t>
      </w:r>
      <w:r w:rsidR="00047E46">
        <w:rPr>
          <w:rFonts w:ascii="Bookman Old Style" w:hAnsi="Bookman Old Style" w:cs="Arial"/>
          <w:sz w:val="28"/>
          <w:szCs w:val="28"/>
        </w:rPr>
        <w:t>por cuanto</w:t>
      </w:r>
      <w:r w:rsidR="00F86C5E">
        <w:rPr>
          <w:rFonts w:ascii="Bookman Old Style" w:hAnsi="Bookman Old Style" w:cs="Arial"/>
          <w:sz w:val="28"/>
          <w:szCs w:val="28"/>
        </w:rPr>
        <w:t xml:space="preserve"> la providencia</w:t>
      </w:r>
      <w:r w:rsidR="00047E46">
        <w:rPr>
          <w:rFonts w:ascii="Bookman Old Style" w:hAnsi="Bookman Old Style" w:cs="Arial"/>
          <w:sz w:val="28"/>
          <w:szCs w:val="28"/>
        </w:rPr>
        <w:t xml:space="preserve"> con</w:t>
      </w:r>
      <w:r w:rsidR="00F86C5E">
        <w:rPr>
          <w:rFonts w:ascii="Bookman Old Style" w:hAnsi="Bookman Old Style" w:cs="Arial"/>
          <w:sz w:val="28"/>
          <w:szCs w:val="28"/>
        </w:rPr>
        <w:t xml:space="preserve"> la cual se resolvió la apelación</w:t>
      </w:r>
      <w:r w:rsidR="00047E46">
        <w:rPr>
          <w:rFonts w:ascii="Bookman Old Style" w:hAnsi="Bookman Old Style" w:cs="Arial"/>
          <w:sz w:val="28"/>
          <w:szCs w:val="28"/>
        </w:rPr>
        <w:t xml:space="preserve"> fue dictada</w:t>
      </w:r>
      <w:r w:rsidR="00F86C5E">
        <w:rPr>
          <w:rFonts w:ascii="Bookman Old Style" w:hAnsi="Bookman Old Style" w:cs="Arial"/>
          <w:sz w:val="28"/>
          <w:szCs w:val="28"/>
        </w:rPr>
        <w:t xml:space="preserve"> el 28 de febrero de 2018, </w:t>
      </w:r>
      <w:r w:rsidR="00F86C5E" w:rsidRPr="00F4096D">
        <w:rPr>
          <w:rFonts w:ascii="Bookman Old Style" w:hAnsi="Bookman Old Style" w:cs="Arial"/>
          <w:sz w:val="28"/>
          <w:szCs w:val="28"/>
        </w:rPr>
        <w:t>«</w:t>
      </w:r>
      <w:r w:rsidR="00F86C5E" w:rsidRPr="00F4096D">
        <w:rPr>
          <w:rFonts w:ascii="Bookman Old Style" w:hAnsi="Bookman Old Style" w:cs="Arial"/>
          <w:i/>
          <w:sz w:val="24"/>
          <w:szCs w:val="28"/>
        </w:rPr>
        <w:t>esto es, fue dictada luego del 26 de octubre de 2017, lo cual, sin más miramientos, la hace nula de pleno derecho, lo cual se traduce en que se trata una irregularidad insaneable, es decir, en una irregularidad que opera por ministerio de la Ley y cuya gravedad es de tal trascendencia que no puede subsanarse ni corregirse por el silencio o inactividad de las partes</w:t>
      </w:r>
      <w:r w:rsidR="00F86C5E" w:rsidRPr="00F4096D">
        <w:rPr>
          <w:rFonts w:ascii="Bookman Old Style" w:hAnsi="Bookman Old Style" w:cs="Arial"/>
          <w:sz w:val="28"/>
          <w:szCs w:val="28"/>
        </w:rPr>
        <w:t>».</w:t>
      </w:r>
    </w:p>
    <w:p w14:paraId="6A0870E2" w14:textId="60DF8862" w:rsidR="009566AD" w:rsidRDefault="009566AD" w:rsidP="00F92684">
      <w:pPr>
        <w:pStyle w:val="Sinespaciado"/>
        <w:spacing w:line="360" w:lineRule="auto"/>
        <w:ind w:firstLine="709"/>
        <w:jc w:val="both"/>
        <w:rPr>
          <w:rFonts w:ascii="Bookman Old Style" w:hAnsi="Bookman Old Style" w:cs="Arial"/>
          <w:sz w:val="28"/>
          <w:szCs w:val="28"/>
        </w:rPr>
      </w:pPr>
    </w:p>
    <w:p w14:paraId="022ABC23" w14:textId="77777777" w:rsidR="009566AD" w:rsidRDefault="009566AD" w:rsidP="00F92684">
      <w:pPr>
        <w:pStyle w:val="NormalCSJ"/>
        <w:ind w:firstLine="0"/>
        <w:jc w:val="center"/>
        <w:rPr>
          <w:b/>
          <w:bCs/>
          <w:lang w:val="es-ES_tradnl"/>
        </w:rPr>
      </w:pPr>
      <w:r>
        <w:rPr>
          <w:b/>
          <w:bCs/>
          <w:lang w:val="es-ES_tradnl"/>
        </w:rPr>
        <w:t>CONSIDERACIONES</w:t>
      </w:r>
    </w:p>
    <w:p w14:paraId="4F753341" w14:textId="5E3C27F7" w:rsidR="009566AD" w:rsidRPr="009566AD" w:rsidRDefault="009566AD" w:rsidP="00F92684">
      <w:pPr>
        <w:pStyle w:val="Sinespaciado"/>
        <w:spacing w:line="360" w:lineRule="auto"/>
        <w:ind w:firstLine="709"/>
        <w:jc w:val="both"/>
        <w:rPr>
          <w:rFonts w:ascii="Bookman Old Style" w:hAnsi="Bookman Old Style" w:cs="Arial"/>
          <w:sz w:val="28"/>
          <w:szCs w:val="28"/>
        </w:rPr>
      </w:pPr>
    </w:p>
    <w:p w14:paraId="66FEA210" w14:textId="3DB09967" w:rsidR="009566AD" w:rsidRPr="009566AD" w:rsidRDefault="00137E28" w:rsidP="00F92684">
      <w:pPr>
        <w:spacing w:after="0" w:line="360" w:lineRule="auto"/>
        <w:ind w:firstLine="709"/>
        <w:jc w:val="both"/>
        <w:rPr>
          <w:rFonts w:ascii="Bookman Old Style" w:eastAsia="Batang" w:hAnsi="Bookman Old Style"/>
          <w:iCs/>
          <w:sz w:val="28"/>
          <w:szCs w:val="28"/>
        </w:rPr>
      </w:pPr>
      <w:r>
        <w:rPr>
          <w:rFonts w:ascii="Bookman Old Style" w:eastAsia="Batang" w:hAnsi="Bookman Old Style"/>
          <w:iCs/>
          <w:sz w:val="28"/>
          <w:szCs w:val="28"/>
        </w:rPr>
        <w:t xml:space="preserve">1. </w:t>
      </w:r>
      <w:r w:rsidR="009566AD" w:rsidRPr="009566AD">
        <w:rPr>
          <w:rFonts w:ascii="Bookman Old Style" w:eastAsia="Batang" w:hAnsi="Bookman Old Style"/>
          <w:iCs/>
          <w:sz w:val="28"/>
          <w:szCs w:val="28"/>
        </w:rPr>
        <w:t>Con respecto a lo expresamente consagrado en</w:t>
      </w:r>
      <w:r w:rsidR="009566AD" w:rsidRPr="009566AD">
        <w:rPr>
          <w:rFonts w:ascii="Bookman Old Style" w:hAnsi="Bookman Old Style"/>
          <w:bCs/>
          <w:spacing w:val="-4"/>
          <w:sz w:val="28"/>
          <w:szCs w:val="28"/>
        </w:rPr>
        <w:t xml:space="preserve"> el numeral 5º del artículo 336 del Código General del Proceso, </w:t>
      </w:r>
      <w:r w:rsidR="009566AD" w:rsidRPr="009566AD">
        <w:rPr>
          <w:rFonts w:ascii="Bookman Old Style" w:eastAsia="Batang" w:hAnsi="Bookman Old Style"/>
          <w:iCs/>
          <w:sz w:val="28"/>
          <w:szCs w:val="28"/>
        </w:rPr>
        <w:t xml:space="preserve">esta Sala de Casación Civil ha dispuesto ciertos requisitos necesarios para su prosperidad, a saber: </w:t>
      </w:r>
    </w:p>
    <w:p w14:paraId="519C3D9E" w14:textId="77777777" w:rsidR="009566AD" w:rsidRPr="009566AD" w:rsidRDefault="009566AD" w:rsidP="00F92684">
      <w:pPr>
        <w:spacing w:after="0" w:line="360" w:lineRule="auto"/>
        <w:ind w:firstLine="709"/>
        <w:jc w:val="both"/>
        <w:rPr>
          <w:rFonts w:ascii="Bookman Old Style" w:eastAsia="Batang" w:hAnsi="Bookman Old Style"/>
          <w:iCs/>
          <w:sz w:val="28"/>
          <w:szCs w:val="28"/>
        </w:rPr>
      </w:pPr>
    </w:p>
    <w:p w14:paraId="71F4AF43" w14:textId="543FFCA1" w:rsidR="009566AD" w:rsidRDefault="009566AD" w:rsidP="00F92684">
      <w:pPr>
        <w:spacing w:after="0"/>
        <w:ind w:left="709"/>
        <w:jc w:val="both"/>
        <w:rPr>
          <w:rFonts w:ascii="Bookman Old Style" w:hAnsi="Bookman Old Style"/>
          <w:iCs/>
          <w:sz w:val="24"/>
          <w:szCs w:val="24"/>
        </w:rPr>
      </w:pPr>
      <w:r w:rsidRPr="00F4096D">
        <w:rPr>
          <w:rFonts w:ascii="Bookman Old Style" w:hAnsi="Bookman Old Style"/>
          <w:i/>
          <w:sz w:val="24"/>
          <w:szCs w:val="24"/>
        </w:rPr>
        <w:t xml:space="preserve">«a) </w:t>
      </w:r>
      <w:r w:rsidRPr="00F4096D">
        <w:rPr>
          <w:rFonts w:ascii="Bookman Old Style" w:hAnsi="Bookman Old Style"/>
          <w:i/>
          <w:sz w:val="24"/>
          <w:szCs w:val="24"/>
          <w:u w:val="single"/>
        </w:rPr>
        <w:t>Que las irregularidades aducidas como constitutivas de nulidad general existan realmente</w:t>
      </w:r>
      <w:r w:rsidRPr="00F4096D">
        <w:rPr>
          <w:rFonts w:ascii="Bookman Old Style" w:hAnsi="Bookman Old Style"/>
          <w:i/>
          <w:sz w:val="24"/>
          <w:szCs w:val="24"/>
        </w:rPr>
        <w:t>; b) Que además de corresponder a realidades procesales comprobables, esas irregularidades estén contempladas taxativamente [en el ordenamiento procesal]; y por último, c) Que ocurriendo los dos presupuestos anteriores y si son saneables, respecto de las nulidades así en principio caracterizadas no aparezca que fueron convalidadas por el asentimiento expreso o tácito de la persona legitimada para hacerlas valer»</w:t>
      </w:r>
      <w:r w:rsidRPr="00F4096D">
        <w:rPr>
          <w:rStyle w:val="Refdenotaalpie"/>
          <w:rFonts w:ascii="Bookman Old Style" w:hAnsi="Bookman Old Style"/>
          <w:i/>
          <w:sz w:val="24"/>
          <w:szCs w:val="24"/>
        </w:rPr>
        <w:footnoteReference w:id="1"/>
      </w:r>
      <w:r w:rsidRPr="00F4096D">
        <w:rPr>
          <w:rFonts w:ascii="Bookman Old Style" w:hAnsi="Bookman Old Style"/>
          <w:i/>
          <w:sz w:val="24"/>
          <w:szCs w:val="24"/>
        </w:rPr>
        <w:t xml:space="preserve"> </w:t>
      </w:r>
      <w:r w:rsidRPr="00F4096D">
        <w:rPr>
          <w:rFonts w:ascii="Bookman Old Style" w:hAnsi="Bookman Old Style"/>
          <w:iCs/>
          <w:sz w:val="24"/>
          <w:szCs w:val="24"/>
        </w:rPr>
        <w:t>(se subraya).</w:t>
      </w:r>
    </w:p>
    <w:p w14:paraId="35CB9E28" w14:textId="77777777" w:rsidR="00F6053D" w:rsidRPr="00467188" w:rsidRDefault="00F6053D" w:rsidP="00F92684">
      <w:pPr>
        <w:spacing w:after="0"/>
        <w:ind w:left="709"/>
        <w:jc w:val="both"/>
        <w:rPr>
          <w:rFonts w:ascii="Bookman Old Style" w:eastAsia="Batang" w:hAnsi="Bookman Old Style"/>
          <w:iCs/>
          <w:sz w:val="24"/>
          <w:szCs w:val="24"/>
        </w:rPr>
      </w:pPr>
    </w:p>
    <w:p w14:paraId="2300B4F4" w14:textId="270109D0" w:rsidR="00F6053D" w:rsidRDefault="009566AD" w:rsidP="00F92684">
      <w:pPr>
        <w:spacing w:after="0" w:line="360" w:lineRule="auto"/>
        <w:ind w:firstLine="709"/>
        <w:jc w:val="both"/>
        <w:rPr>
          <w:rFonts w:ascii="Bookman Old Style" w:eastAsia="Batang" w:hAnsi="Bookman Old Style"/>
          <w:iCs/>
          <w:sz w:val="28"/>
          <w:szCs w:val="28"/>
        </w:rPr>
      </w:pPr>
      <w:r w:rsidRPr="009566AD">
        <w:rPr>
          <w:rFonts w:ascii="Bookman Old Style" w:eastAsia="Batang" w:hAnsi="Bookman Old Style"/>
          <w:iCs/>
          <w:sz w:val="28"/>
          <w:szCs w:val="28"/>
        </w:rPr>
        <w:t xml:space="preserve">A su vez, tiene dicho la Corte que, para invalidar la sentencia de segunda instancia por vía de casación, es indispensable observar </w:t>
      </w:r>
      <w:r w:rsidR="00E937DB">
        <w:rPr>
          <w:rFonts w:ascii="Bookman Old Style" w:eastAsia="Batang" w:hAnsi="Bookman Old Style"/>
          <w:iCs/>
          <w:sz w:val="28"/>
          <w:szCs w:val="28"/>
        </w:rPr>
        <w:t>el</w:t>
      </w:r>
      <w:r w:rsidRPr="009566AD">
        <w:rPr>
          <w:rFonts w:ascii="Bookman Old Style" w:eastAsia="Batang" w:hAnsi="Bookman Old Style"/>
          <w:iCs/>
          <w:sz w:val="28"/>
          <w:szCs w:val="28"/>
        </w:rPr>
        <w:t xml:space="preserve"> principio de trascendencia</w:t>
      </w:r>
      <w:r w:rsidRPr="009566AD">
        <w:rPr>
          <w:rStyle w:val="Refdenotaalpie"/>
          <w:rFonts w:ascii="Bookman Old Style" w:eastAsia="Batang" w:hAnsi="Bookman Old Style"/>
          <w:iCs/>
          <w:sz w:val="28"/>
          <w:szCs w:val="28"/>
        </w:rPr>
        <w:footnoteReference w:id="2"/>
      </w:r>
      <w:r w:rsidRPr="009566AD">
        <w:rPr>
          <w:rFonts w:ascii="Bookman Old Style" w:eastAsia="Batang" w:hAnsi="Bookman Old Style"/>
          <w:iCs/>
          <w:sz w:val="28"/>
          <w:szCs w:val="28"/>
        </w:rPr>
        <w:t xml:space="preserve"> que </w:t>
      </w:r>
      <w:r w:rsidRPr="00A17175">
        <w:rPr>
          <w:rFonts w:ascii="Bookman Old Style" w:eastAsia="Batang" w:hAnsi="Bookman Old Style"/>
          <w:iCs/>
          <w:sz w:val="28"/>
          <w:szCs w:val="28"/>
        </w:rPr>
        <w:t>cobija</w:t>
      </w:r>
      <w:r w:rsidRPr="009566AD">
        <w:rPr>
          <w:rFonts w:ascii="Bookman Old Style" w:eastAsia="Batang" w:hAnsi="Bookman Old Style"/>
          <w:iCs/>
          <w:sz w:val="28"/>
          <w:szCs w:val="28"/>
        </w:rPr>
        <w:t xml:space="preserve"> el régimen de las nulidades procesales. Es así como se exige que, en atención al primero, el defecto procesal </w:t>
      </w:r>
      <w:r w:rsidRPr="009566AD">
        <w:rPr>
          <w:rFonts w:ascii="Bookman Old Style" w:eastAsia="Batang" w:hAnsi="Bookman Old Style"/>
          <w:iCs/>
          <w:sz w:val="28"/>
          <w:szCs w:val="28"/>
        </w:rPr>
        <w:lastRenderedPageBreak/>
        <w:t xml:space="preserve">menoscabe los derechos de los sujetos procesales -sus garantías fundamentales-. Lo dicho tiene su excepción cuando la falta alegada </w:t>
      </w:r>
      <w:r w:rsidR="007977AE">
        <w:rPr>
          <w:rFonts w:ascii="Bookman Old Style" w:eastAsia="Batang" w:hAnsi="Bookman Old Style"/>
          <w:iCs/>
          <w:sz w:val="28"/>
          <w:szCs w:val="28"/>
        </w:rPr>
        <w:t>imponga</w:t>
      </w:r>
      <w:r w:rsidRPr="009566AD">
        <w:rPr>
          <w:rFonts w:ascii="Bookman Old Style" w:eastAsia="Batang" w:hAnsi="Bookman Old Style"/>
          <w:iCs/>
          <w:sz w:val="28"/>
          <w:szCs w:val="28"/>
        </w:rPr>
        <w:t xml:space="preserve"> un vicio insaneable. Porque su consumación priva a las partes de la defensa plena de sus derechos -aunado a su indisponibilidad e irrenunciabilidad</w:t>
      </w:r>
      <w:r w:rsidRPr="009566AD">
        <w:rPr>
          <w:rStyle w:val="Refdenotaalpie"/>
          <w:rFonts w:ascii="Bookman Old Style" w:eastAsia="Batang" w:hAnsi="Bookman Old Style"/>
          <w:iCs/>
          <w:sz w:val="28"/>
          <w:szCs w:val="28"/>
        </w:rPr>
        <w:footnoteReference w:id="3"/>
      </w:r>
      <w:r w:rsidRPr="009566AD">
        <w:rPr>
          <w:rFonts w:ascii="Bookman Old Style" w:eastAsia="Batang" w:hAnsi="Bookman Old Style"/>
          <w:iCs/>
          <w:sz w:val="28"/>
          <w:szCs w:val="28"/>
        </w:rPr>
        <w:t>.</w:t>
      </w:r>
      <w:r w:rsidR="00E937DB">
        <w:rPr>
          <w:rFonts w:ascii="Bookman Old Style" w:eastAsia="Batang" w:hAnsi="Bookman Old Style"/>
          <w:iCs/>
          <w:sz w:val="28"/>
          <w:szCs w:val="28"/>
        </w:rPr>
        <w:t xml:space="preserve"> </w:t>
      </w:r>
    </w:p>
    <w:p w14:paraId="1DCD1B88" w14:textId="77777777" w:rsidR="00F6053D" w:rsidRDefault="00F6053D" w:rsidP="00F92684">
      <w:pPr>
        <w:spacing w:after="0" w:line="360" w:lineRule="auto"/>
        <w:ind w:firstLine="709"/>
        <w:jc w:val="both"/>
        <w:rPr>
          <w:rFonts w:ascii="Bookman Old Style" w:eastAsia="Batang" w:hAnsi="Bookman Old Style"/>
          <w:iCs/>
          <w:sz w:val="28"/>
          <w:szCs w:val="28"/>
        </w:rPr>
      </w:pPr>
    </w:p>
    <w:p w14:paraId="4DBE892F" w14:textId="252D2856" w:rsidR="006A17BA" w:rsidRPr="002C1168" w:rsidRDefault="00E937DB" w:rsidP="002C1168">
      <w:pPr>
        <w:spacing w:after="0" w:line="360" w:lineRule="auto"/>
        <w:ind w:firstLine="709"/>
        <w:jc w:val="both"/>
        <w:rPr>
          <w:rFonts w:ascii="Bookman Old Style" w:eastAsia="Batang" w:hAnsi="Bookman Old Style"/>
          <w:iCs/>
          <w:sz w:val="28"/>
          <w:szCs w:val="28"/>
        </w:rPr>
      </w:pPr>
      <w:r>
        <w:rPr>
          <w:rFonts w:ascii="Bookman Old Style" w:eastAsia="Batang" w:hAnsi="Bookman Old Style"/>
          <w:iCs/>
          <w:sz w:val="28"/>
          <w:szCs w:val="28"/>
        </w:rPr>
        <w:t>Frente a la nulidad contemplada en el artículo 121 del C</w:t>
      </w:r>
      <w:r w:rsidR="00F6053D">
        <w:rPr>
          <w:rFonts w:ascii="Bookman Old Style" w:eastAsia="Batang" w:hAnsi="Bookman Old Style"/>
          <w:iCs/>
          <w:sz w:val="28"/>
          <w:szCs w:val="28"/>
        </w:rPr>
        <w:t xml:space="preserve">ódigo </w:t>
      </w:r>
      <w:r>
        <w:rPr>
          <w:rFonts w:ascii="Bookman Old Style" w:eastAsia="Batang" w:hAnsi="Bookman Old Style"/>
          <w:iCs/>
          <w:sz w:val="28"/>
          <w:szCs w:val="28"/>
        </w:rPr>
        <w:t>G</w:t>
      </w:r>
      <w:r w:rsidR="00F6053D">
        <w:rPr>
          <w:rFonts w:ascii="Bookman Old Style" w:eastAsia="Batang" w:hAnsi="Bookman Old Style"/>
          <w:iCs/>
          <w:sz w:val="28"/>
          <w:szCs w:val="28"/>
        </w:rPr>
        <w:t xml:space="preserve">eneral del </w:t>
      </w:r>
      <w:r>
        <w:rPr>
          <w:rFonts w:ascii="Bookman Old Style" w:eastAsia="Batang" w:hAnsi="Bookman Old Style"/>
          <w:iCs/>
          <w:sz w:val="28"/>
          <w:szCs w:val="28"/>
        </w:rPr>
        <w:t>P</w:t>
      </w:r>
      <w:r w:rsidR="00F6053D">
        <w:rPr>
          <w:rFonts w:ascii="Bookman Old Style" w:eastAsia="Batang" w:hAnsi="Bookman Old Style"/>
          <w:iCs/>
          <w:sz w:val="28"/>
          <w:szCs w:val="28"/>
        </w:rPr>
        <w:t>roceso</w:t>
      </w:r>
      <w:r>
        <w:rPr>
          <w:rFonts w:ascii="Bookman Old Style" w:eastAsia="Batang" w:hAnsi="Bookman Old Style"/>
          <w:iCs/>
          <w:sz w:val="28"/>
          <w:szCs w:val="28"/>
        </w:rPr>
        <w:t>, la Corporación en re</w:t>
      </w:r>
      <w:r w:rsidR="00F6053D">
        <w:rPr>
          <w:rFonts w:ascii="Bookman Old Style" w:eastAsia="Batang" w:hAnsi="Bookman Old Style"/>
          <w:iCs/>
          <w:sz w:val="28"/>
          <w:szCs w:val="28"/>
        </w:rPr>
        <w:t>c</w:t>
      </w:r>
      <w:r>
        <w:rPr>
          <w:rFonts w:ascii="Bookman Old Style" w:eastAsia="Batang" w:hAnsi="Bookman Old Style"/>
          <w:iCs/>
          <w:sz w:val="28"/>
          <w:szCs w:val="28"/>
        </w:rPr>
        <w:t>ientes pronunciamientos consideró su carácter saneable</w:t>
      </w:r>
      <w:r w:rsidR="007977AE">
        <w:rPr>
          <w:rFonts w:ascii="Bookman Old Style" w:eastAsia="Batang" w:hAnsi="Bookman Old Style"/>
          <w:iCs/>
          <w:sz w:val="28"/>
          <w:szCs w:val="28"/>
        </w:rPr>
        <w:t>.</w:t>
      </w:r>
      <w:r w:rsidR="00EF3289">
        <w:rPr>
          <w:rStyle w:val="Refdenotaalpie"/>
          <w:rFonts w:ascii="Bookman Old Style" w:eastAsia="Batang" w:hAnsi="Bookman Old Style"/>
          <w:iCs/>
          <w:sz w:val="28"/>
          <w:szCs w:val="28"/>
        </w:rPr>
        <w:footnoteReference w:id="4"/>
      </w:r>
      <w:r>
        <w:rPr>
          <w:rFonts w:ascii="Bookman Old Style" w:eastAsia="Batang" w:hAnsi="Bookman Old Style"/>
          <w:iCs/>
          <w:sz w:val="28"/>
          <w:szCs w:val="28"/>
        </w:rPr>
        <w:t xml:space="preserve"> </w:t>
      </w:r>
      <w:r w:rsidR="007977AE">
        <w:rPr>
          <w:rFonts w:ascii="Bookman Old Style" w:eastAsia="Batang" w:hAnsi="Bookman Old Style"/>
          <w:iCs/>
          <w:sz w:val="28"/>
          <w:szCs w:val="28"/>
        </w:rPr>
        <w:t>También estimó</w:t>
      </w:r>
      <w:r>
        <w:rPr>
          <w:rFonts w:ascii="Bookman Old Style" w:eastAsia="Batang" w:hAnsi="Bookman Old Style"/>
          <w:iCs/>
          <w:sz w:val="28"/>
          <w:szCs w:val="28"/>
        </w:rPr>
        <w:t xml:space="preserve"> que el término previsto no opera de manera</w:t>
      </w:r>
      <w:r w:rsidR="00EF3289">
        <w:rPr>
          <w:rFonts w:ascii="Bookman Old Style" w:eastAsia="Batang" w:hAnsi="Bookman Old Style"/>
          <w:iCs/>
          <w:sz w:val="28"/>
          <w:szCs w:val="28"/>
        </w:rPr>
        <w:t xml:space="preserve"> automática</w:t>
      </w:r>
      <w:r w:rsidR="000529C8">
        <w:rPr>
          <w:rStyle w:val="Refdenotaalpie"/>
          <w:rFonts w:ascii="Bookman Old Style" w:eastAsia="Batang" w:hAnsi="Bookman Old Style"/>
          <w:iCs/>
          <w:sz w:val="28"/>
          <w:szCs w:val="28"/>
        </w:rPr>
        <w:footnoteReference w:id="5"/>
      </w:r>
      <w:r w:rsidR="00EF3289">
        <w:rPr>
          <w:rFonts w:ascii="Bookman Old Style" w:eastAsia="Batang" w:hAnsi="Bookman Old Style"/>
          <w:iCs/>
          <w:sz w:val="28"/>
          <w:szCs w:val="28"/>
        </w:rPr>
        <w:t xml:space="preserve">. </w:t>
      </w:r>
      <w:r w:rsidR="000529C8">
        <w:rPr>
          <w:rFonts w:ascii="Bookman Old Style" w:eastAsia="Batang" w:hAnsi="Bookman Old Style"/>
          <w:iCs/>
          <w:sz w:val="28"/>
          <w:szCs w:val="28"/>
        </w:rPr>
        <w:t>En el decurso</w:t>
      </w:r>
      <w:r w:rsidR="007977AE">
        <w:rPr>
          <w:rFonts w:ascii="Bookman Old Style" w:eastAsia="Batang" w:hAnsi="Bookman Old Style"/>
          <w:iCs/>
          <w:sz w:val="28"/>
          <w:szCs w:val="28"/>
        </w:rPr>
        <w:t>, en efecto,</w:t>
      </w:r>
      <w:r w:rsidR="000529C8">
        <w:rPr>
          <w:rFonts w:ascii="Bookman Old Style" w:eastAsia="Batang" w:hAnsi="Bookman Old Style"/>
          <w:iCs/>
          <w:sz w:val="28"/>
          <w:szCs w:val="28"/>
        </w:rPr>
        <w:t xml:space="preserve"> </w:t>
      </w:r>
      <w:r w:rsidR="007977AE">
        <w:rPr>
          <w:rFonts w:ascii="Bookman Old Style" w:eastAsia="Batang" w:hAnsi="Bookman Old Style"/>
          <w:iCs/>
          <w:sz w:val="28"/>
          <w:szCs w:val="28"/>
        </w:rPr>
        <w:t xml:space="preserve">sí </w:t>
      </w:r>
      <w:r w:rsidR="000529C8">
        <w:rPr>
          <w:rFonts w:ascii="Bookman Old Style" w:eastAsia="Batang" w:hAnsi="Bookman Old Style"/>
          <w:iCs/>
          <w:sz w:val="28"/>
          <w:szCs w:val="28"/>
        </w:rPr>
        <w:t xml:space="preserve">pueden presentarse </w:t>
      </w:r>
      <w:r w:rsidR="003A6BAE">
        <w:rPr>
          <w:rFonts w:ascii="Bookman Old Style" w:eastAsia="Batang" w:hAnsi="Bookman Old Style"/>
          <w:iCs/>
          <w:sz w:val="28"/>
          <w:szCs w:val="28"/>
        </w:rPr>
        <w:t>diferentes variables</w:t>
      </w:r>
      <w:r w:rsidR="000529C8">
        <w:rPr>
          <w:rFonts w:ascii="Bookman Old Style" w:eastAsia="Batang" w:hAnsi="Bookman Old Style"/>
          <w:iCs/>
          <w:sz w:val="28"/>
          <w:szCs w:val="28"/>
        </w:rPr>
        <w:t xml:space="preserve"> que </w:t>
      </w:r>
      <w:r w:rsidR="003A6BAE">
        <w:rPr>
          <w:rFonts w:ascii="Bookman Old Style" w:eastAsia="Batang" w:hAnsi="Bookman Old Style"/>
          <w:iCs/>
          <w:sz w:val="28"/>
          <w:szCs w:val="28"/>
        </w:rPr>
        <w:t>impid</w:t>
      </w:r>
      <w:r w:rsidR="007977AE">
        <w:rPr>
          <w:rFonts w:ascii="Bookman Old Style" w:eastAsia="Batang" w:hAnsi="Bookman Old Style"/>
          <w:iCs/>
          <w:sz w:val="28"/>
          <w:szCs w:val="28"/>
        </w:rPr>
        <w:t>a</w:t>
      </w:r>
      <w:r w:rsidR="003A6BAE">
        <w:rPr>
          <w:rFonts w:ascii="Bookman Old Style" w:eastAsia="Batang" w:hAnsi="Bookman Old Style"/>
          <w:iCs/>
          <w:sz w:val="28"/>
          <w:szCs w:val="28"/>
        </w:rPr>
        <w:t xml:space="preserve">n dictar sentencia dentro del plazo fijado por el legislador. Dentro de los eventos que la </w:t>
      </w:r>
      <w:r w:rsidR="00F6106D">
        <w:rPr>
          <w:rFonts w:ascii="Bookman Old Style" w:eastAsia="Batang" w:hAnsi="Bookman Old Style"/>
          <w:iCs/>
          <w:sz w:val="28"/>
          <w:szCs w:val="28"/>
        </w:rPr>
        <w:t>Corporación</w:t>
      </w:r>
      <w:r w:rsidR="003A6BAE">
        <w:rPr>
          <w:rFonts w:ascii="Bookman Old Style" w:eastAsia="Batang" w:hAnsi="Bookman Old Style"/>
          <w:iCs/>
          <w:sz w:val="28"/>
          <w:szCs w:val="28"/>
        </w:rPr>
        <w:t xml:space="preserve"> ha estudiado se encuentra el cambio de funcionario cognoscente</w:t>
      </w:r>
      <w:r w:rsidR="003A6BAE">
        <w:rPr>
          <w:rStyle w:val="Refdenotaalpie"/>
          <w:rFonts w:ascii="Bookman Old Style" w:eastAsia="Batang" w:hAnsi="Bookman Old Style"/>
          <w:iCs/>
          <w:sz w:val="28"/>
          <w:szCs w:val="28"/>
        </w:rPr>
        <w:footnoteReference w:id="6"/>
      </w:r>
      <w:r w:rsidR="003A6BAE">
        <w:rPr>
          <w:rFonts w:ascii="Bookman Old Style" w:eastAsia="Batang" w:hAnsi="Bookman Old Style"/>
          <w:iCs/>
          <w:sz w:val="28"/>
          <w:szCs w:val="28"/>
        </w:rPr>
        <w:t xml:space="preserve">. </w:t>
      </w:r>
      <w:r w:rsidR="002C1168">
        <w:rPr>
          <w:rFonts w:ascii="Bookman Old Style" w:eastAsia="Batang" w:hAnsi="Bookman Old Style"/>
          <w:iCs/>
          <w:sz w:val="28"/>
          <w:szCs w:val="28"/>
        </w:rPr>
        <w:t>A</w:t>
      </w:r>
      <w:r w:rsidR="00B76175">
        <w:rPr>
          <w:rFonts w:ascii="Bookman Old Style" w:eastAsia="Batang" w:hAnsi="Bookman Old Style"/>
          <w:iCs/>
          <w:sz w:val="28"/>
          <w:szCs w:val="28"/>
        </w:rPr>
        <w:t xml:space="preserve"> juicio de esta Sala, </w:t>
      </w:r>
      <w:r w:rsidR="005067B0">
        <w:rPr>
          <w:rFonts w:ascii="Bookman Old Style" w:eastAsia="Batang" w:hAnsi="Bookman Old Style"/>
          <w:iCs/>
          <w:sz w:val="28"/>
          <w:szCs w:val="28"/>
        </w:rPr>
        <w:t>la p</w:t>
      </w:r>
      <w:r w:rsidR="00B76175">
        <w:rPr>
          <w:rFonts w:ascii="Bookman Old Style" w:eastAsia="Batang" w:hAnsi="Bookman Old Style"/>
          <w:iCs/>
          <w:sz w:val="28"/>
          <w:szCs w:val="28"/>
        </w:rPr>
        <w:t>é</w:t>
      </w:r>
      <w:r w:rsidR="005067B0">
        <w:rPr>
          <w:rFonts w:ascii="Bookman Old Style" w:eastAsia="Batang" w:hAnsi="Bookman Old Style"/>
          <w:iCs/>
          <w:sz w:val="28"/>
          <w:szCs w:val="28"/>
        </w:rPr>
        <w:t xml:space="preserve">rdida de competencia </w:t>
      </w:r>
      <w:r w:rsidR="00F6106D">
        <w:rPr>
          <w:rFonts w:ascii="Bookman Old Style" w:eastAsia="Batang" w:hAnsi="Bookman Old Style"/>
          <w:iCs/>
          <w:sz w:val="28"/>
          <w:szCs w:val="28"/>
        </w:rPr>
        <w:t>tiene como destinatario el</w:t>
      </w:r>
      <w:r w:rsidR="005067B0">
        <w:rPr>
          <w:rFonts w:ascii="Bookman Old Style" w:eastAsia="Batang" w:hAnsi="Bookman Old Style"/>
          <w:iCs/>
          <w:sz w:val="28"/>
          <w:szCs w:val="28"/>
        </w:rPr>
        <w:t xml:space="preserve"> </w:t>
      </w:r>
      <w:r w:rsidR="00F6106D">
        <w:rPr>
          <w:rFonts w:ascii="Bookman Old Style" w:eastAsia="Batang" w:hAnsi="Bookman Old Style"/>
          <w:iCs/>
          <w:sz w:val="28"/>
          <w:szCs w:val="28"/>
        </w:rPr>
        <w:t>funcionario judicial</w:t>
      </w:r>
      <w:r w:rsidR="007977AE">
        <w:rPr>
          <w:rFonts w:ascii="Bookman Old Style" w:eastAsia="Batang" w:hAnsi="Bookman Old Style"/>
          <w:iCs/>
          <w:sz w:val="28"/>
          <w:szCs w:val="28"/>
        </w:rPr>
        <w:t xml:space="preserve"> -</w:t>
      </w:r>
      <w:r w:rsidR="005067B0">
        <w:rPr>
          <w:rFonts w:ascii="Bookman Old Style" w:eastAsia="Batang" w:hAnsi="Bookman Old Style"/>
          <w:iCs/>
          <w:sz w:val="28"/>
          <w:szCs w:val="28"/>
        </w:rPr>
        <w:t xml:space="preserve">mas no </w:t>
      </w:r>
      <w:r w:rsidR="00F6106D">
        <w:rPr>
          <w:rFonts w:ascii="Bookman Old Style" w:eastAsia="Batang" w:hAnsi="Bookman Old Style"/>
          <w:iCs/>
          <w:sz w:val="28"/>
          <w:szCs w:val="28"/>
        </w:rPr>
        <w:t>el</w:t>
      </w:r>
      <w:r w:rsidR="005067B0">
        <w:rPr>
          <w:rFonts w:ascii="Bookman Old Style" w:eastAsia="Batang" w:hAnsi="Bookman Old Style"/>
          <w:iCs/>
          <w:sz w:val="28"/>
          <w:szCs w:val="28"/>
        </w:rPr>
        <w:t xml:space="preserve"> despacho</w:t>
      </w:r>
      <w:r w:rsidR="007977AE">
        <w:rPr>
          <w:rFonts w:ascii="Bookman Old Style" w:eastAsia="Batang" w:hAnsi="Bookman Old Style"/>
          <w:iCs/>
          <w:sz w:val="28"/>
          <w:szCs w:val="28"/>
        </w:rPr>
        <w:t>-</w:t>
      </w:r>
      <w:r w:rsidR="005067B0">
        <w:rPr>
          <w:rFonts w:ascii="Bookman Old Style" w:eastAsia="Batang" w:hAnsi="Bookman Old Style"/>
          <w:iCs/>
          <w:sz w:val="28"/>
          <w:szCs w:val="28"/>
        </w:rPr>
        <w:t xml:space="preserve">. </w:t>
      </w:r>
      <w:r w:rsidR="00B76175">
        <w:rPr>
          <w:rFonts w:ascii="Bookman Old Style" w:eastAsia="Batang" w:hAnsi="Bookman Old Style"/>
          <w:iCs/>
          <w:sz w:val="28"/>
          <w:szCs w:val="28"/>
        </w:rPr>
        <w:t>En efecto</w:t>
      </w:r>
      <w:r w:rsidR="00E10FCA">
        <w:rPr>
          <w:rFonts w:ascii="Bookman Old Style" w:eastAsia="Batang" w:hAnsi="Bookman Old Style"/>
          <w:iCs/>
          <w:sz w:val="28"/>
          <w:szCs w:val="28"/>
        </w:rPr>
        <w:t>, según el tenor literal del precepto</w:t>
      </w:r>
      <w:r w:rsidR="00B76175">
        <w:rPr>
          <w:rFonts w:ascii="Bookman Old Style" w:eastAsia="Batang" w:hAnsi="Bookman Old Style"/>
          <w:iCs/>
          <w:sz w:val="28"/>
          <w:szCs w:val="28"/>
        </w:rPr>
        <w:t>,</w:t>
      </w:r>
      <w:r w:rsidR="00E10FCA">
        <w:rPr>
          <w:rFonts w:ascii="Bookman Old Style" w:eastAsia="Batang" w:hAnsi="Bookman Old Style"/>
          <w:iCs/>
          <w:sz w:val="28"/>
          <w:szCs w:val="28"/>
        </w:rPr>
        <w:t xml:space="preserve"> la </w:t>
      </w:r>
      <w:r w:rsidR="006F5D11">
        <w:rPr>
          <w:rFonts w:ascii="Bookman Old Style" w:eastAsia="Batang" w:hAnsi="Bookman Old Style"/>
          <w:iCs/>
          <w:sz w:val="28"/>
          <w:szCs w:val="28"/>
        </w:rPr>
        <w:t>privación</w:t>
      </w:r>
      <w:r w:rsidR="00E10FCA">
        <w:rPr>
          <w:rFonts w:ascii="Bookman Old Style" w:eastAsia="Batang" w:hAnsi="Bookman Old Style"/>
          <w:iCs/>
          <w:sz w:val="28"/>
          <w:szCs w:val="28"/>
        </w:rPr>
        <w:t xml:space="preserve"> </w:t>
      </w:r>
      <w:r w:rsidR="006F5D11">
        <w:rPr>
          <w:rFonts w:ascii="Bookman Old Style" w:eastAsia="Batang" w:hAnsi="Bookman Old Style"/>
          <w:iCs/>
          <w:sz w:val="28"/>
          <w:szCs w:val="28"/>
        </w:rPr>
        <w:t>para continuar conociendo del asunto</w:t>
      </w:r>
      <w:r w:rsidR="00E10FCA">
        <w:rPr>
          <w:rFonts w:ascii="Bookman Old Style" w:eastAsia="Batang" w:hAnsi="Bookman Old Style"/>
          <w:iCs/>
          <w:sz w:val="28"/>
          <w:szCs w:val="28"/>
        </w:rPr>
        <w:t xml:space="preserve"> se presenta en relación con quien ejerce la autoridad ju</w:t>
      </w:r>
      <w:r w:rsidR="00916DFC">
        <w:rPr>
          <w:rFonts w:ascii="Bookman Old Style" w:eastAsia="Batang" w:hAnsi="Bookman Old Style"/>
          <w:iCs/>
          <w:sz w:val="28"/>
          <w:szCs w:val="28"/>
        </w:rPr>
        <w:t>risdiccional</w:t>
      </w:r>
      <w:r w:rsidR="00B76175">
        <w:rPr>
          <w:rFonts w:ascii="Bookman Old Style" w:eastAsia="Batang" w:hAnsi="Bookman Old Style"/>
          <w:iCs/>
          <w:sz w:val="28"/>
          <w:szCs w:val="28"/>
        </w:rPr>
        <w:t xml:space="preserve">, </w:t>
      </w:r>
      <w:r w:rsidR="00AE3BDE">
        <w:rPr>
          <w:rFonts w:ascii="Bookman Old Style" w:eastAsia="Batang" w:hAnsi="Bookman Old Style"/>
          <w:iCs/>
          <w:sz w:val="28"/>
          <w:szCs w:val="28"/>
        </w:rPr>
        <w:t>cuando</w:t>
      </w:r>
      <w:r w:rsidR="00B76175">
        <w:rPr>
          <w:rFonts w:ascii="Bookman Old Style" w:eastAsia="Batang" w:hAnsi="Bookman Old Style"/>
          <w:iCs/>
          <w:sz w:val="28"/>
          <w:szCs w:val="28"/>
        </w:rPr>
        <w:t xml:space="preserve"> se abst</w:t>
      </w:r>
      <w:r w:rsidR="00AE3BDE">
        <w:rPr>
          <w:rFonts w:ascii="Bookman Old Style" w:eastAsia="Batang" w:hAnsi="Bookman Old Style"/>
          <w:iCs/>
          <w:sz w:val="28"/>
          <w:szCs w:val="28"/>
        </w:rPr>
        <w:t>iene</w:t>
      </w:r>
      <w:r w:rsidR="00B76175">
        <w:rPr>
          <w:rFonts w:ascii="Bookman Old Style" w:eastAsia="Batang" w:hAnsi="Bookman Old Style"/>
          <w:iCs/>
          <w:sz w:val="28"/>
          <w:szCs w:val="28"/>
        </w:rPr>
        <w:t xml:space="preserve"> de dictar sentencia dentro de los plazos </w:t>
      </w:r>
      <w:r w:rsidR="00ED3D31" w:rsidRPr="00F4096D">
        <w:rPr>
          <w:rFonts w:ascii="Bookman Old Style" w:eastAsia="Batang" w:hAnsi="Bookman Old Style"/>
          <w:iCs/>
          <w:sz w:val="28"/>
          <w:szCs w:val="28"/>
        </w:rPr>
        <w:t>estatuidos</w:t>
      </w:r>
      <w:r w:rsidR="00B76175" w:rsidRPr="00ED3D31">
        <w:rPr>
          <w:rFonts w:ascii="Bookman Old Style" w:eastAsia="Batang" w:hAnsi="Bookman Old Style"/>
          <w:iCs/>
          <w:color w:val="FF0000"/>
          <w:sz w:val="28"/>
          <w:szCs w:val="28"/>
        </w:rPr>
        <w:t xml:space="preserve"> </w:t>
      </w:r>
      <w:r w:rsidR="00B76175">
        <w:rPr>
          <w:rFonts w:ascii="Bookman Old Style" w:eastAsia="Batang" w:hAnsi="Bookman Old Style"/>
          <w:iCs/>
          <w:sz w:val="28"/>
          <w:szCs w:val="28"/>
        </w:rPr>
        <w:t>para tal fin</w:t>
      </w:r>
      <w:r w:rsidR="00E10FCA">
        <w:rPr>
          <w:rFonts w:ascii="Bookman Old Style" w:eastAsia="Batang" w:hAnsi="Bookman Old Style"/>
          <w:iCs/>
          <w:sz w:val="28"/>
          <w:szCs w:val="28"/>
        </w:rPr>
        <w:t xml:space="preserve">. </w:t>
      </w:r>
      <w:r w:rsidR="006A17BA">
        <w:rPr>
          <w:rFonts w:ascii="Bookman Old Style" w:hAnsi="Bookman Old Style" w:cs="Arial"/>
          <w:iCs/>
          <w:sz w:val="28"/>
          <w:szCs w:val="28"/>
        </w:rPr>
        <w:t>De tal suerte que</w:t>
      </w:r>
      <w:r w:rsidR="00620CA8">
        <w:rPr>
          <w:rFonts w:ascii="Bookman Old Style" w:hAnsi="Bookman Old Style" w:cs="Arial"/>
          <w:iCs/>
          <w:sz w:val="28"/>
          <w:szCs w:val="28"/>
        </w:rPr>
        <w:t xml:space="preserve"> la p</w:t>
      </w:r>
      <w:r w:rsidR="00FA407D">
        <w:rPr>
          <w:rFonts w:ascii="Bookman Old Style" w:hAnsi="Bookman Old Style" w:cs="Arial"/>
          <w:iCs/>
          <w:sz w:val="28"/>
          <w:szCs w:val="28"/>
        </w:rPr>
        <w:t>é</w:t>
      </w:r>
      <w:r w:rsidR="00620CA8">
        <w:rPr>
          <w:rFonts w:ascii="Bookman Old Style" w:hAnsi="Bookman Old Style" w:cs="Arial"/>
          <w:iCs/>
          <w:sz w:val="28"/>
          <w:szCs w:val="28"/>
        </w:rPr>
        <w:t xml:space="preserve">rdida de competencia lo es en relación con el </w:t>
      </w:r>
      <w:r w:rsidR="00AE3BDE">
        <w:rPr>
          <w:rFonts w:ascii="Bookman Old Style" w:hAnsi="Bookman Old Style" w:cs="Arial"/>
          <w:iCs/>
          <w:sz w:val="28"/>
          <w:szCs w:val="28"/>
        </w:rPr>
        <w:t>operador judicial</w:t>
      </w:r>
      <w:r w:rsidR="00620CA8">
        <w:rPr>
          <w:rFonts w:ascii="Bookman Old Style" w:hAnsi="Bookman Old Style" w:cs="Arial"/>
          <w:iCs/>
          <w:sz w:val="28"/>
          <w:szCs w:val="28"/>
        </w:rPr>
        <w:t>. Al respecto, la Sala ha indicado</w:t>
      </w:r>
      <w:r w:rsidR="00FA407D">
        <w:rPr>
          <w:rFonts w:ascii="Bookman Old Style" w:hAnsi="Bookman Old Style" w:cs="Arial"/>
          <w:iCs/>
          <w:sz w:val="28"/>
          <w:szCs w:val="28"/>
        </w:rPr>
        <w:t xml:space="preserve"> que</w:t>
      </w:r>
      <w:r w:rsidR="00620CA8">
        <w:rPr>
          <w:rFonts w:ascii="Bookman Old Style" w:hAnsi="Bookman Old Style" w:cs="Arial"/>
          <w:iCs/>
          <w:sz w:val="28"/>
          <w:szCs w:val="28"/>
        </w:rPr>
        <w:t xml:space="preserve"> </w:t>
      </w:r>
      <w:r w:rsidR="00FA407D" w:rsidRPr="00F4096D">
        <w:rPr>
          <w:rFonts w:ascii="Bookman Old Style" w:hAnsi="Bookman Old Style" w:cs="Arial"/>
          <w:iCs/>
          <w:sz w:val="28"/>
          <w:szCs w:val="28"/>
        </w:rPr>
        <w:t>«</w:t>
      </w:r>
      <w:r w:rsidR="00620CA8" w:rsidRPr="00F4096D">
        <w:rPr>
          <w:rFonts w:ascii="Bookman Old Style" w:hAnsi="Bookman Old Style" w:cs="Arial"/>
          <w:bCs/>
          <w:i/>
          <w:iCs/>
          <w:sz w:val="24"/>
          <w:szCs w:val="24"/>
        </w:rPr>
        <w:t xml:space="preserve">quien pierde competencia es «el funcionario» a quien inicialmente se le asignó el conocimiento del asunto, y de otro, que esa pérdida es determinante para </w:t>
      </w:r>
      <w:r w:rsidR="00620CA8" w:rsidRPr="00F4096D">
        <w:rPr>
          <w:rFonts w:ascii="Bookman Old Style" w:hAnsi="Bookman Old Style" w:cs="Arial"/>
          <w:bCs/>
          <w:i/>
          <w:iCs/>
          <w:sz w:val="24"/>
          <w:szCs w:val="24"/>
        </w:rPr>
        <w:lastRenderedPageBreak/>
        <w:t>la calificación de desempeño de dicha autoridad judicial, es pertinente colegir que el término mencionado no corre de forma puramente objetiva, sino que –por su naturaleza subjetiva– ha de consultar realidades del proceso como el cambio en la titularidad de un despacho vacante</w:t>
      </w:r>
      <w:r w:rsidR="00541A91" w:rsidRPr="00F4096D">
        <w:rPr>
          <w:rFonts w:ascii="Bookman Old Style" w:hAnsi="Bookman Old Style" w:cs="Arial"/>
          <w:bCs/>
          <w:i/>
          <w:iCs/>
          <w:sz w:val="24"/>
          <w:szCs w:val="24"/>
        </w:rPr>
        <w:t>»</w:t>
      </w:r>
      <w:r w:rsidR="006F1537" w:rsidRPr="00F4096D">
        <w:rPr>
          <w:rStyle w:val="Refdenotaalpie"/>
          <w:rFonts w:ascii="Bookman Old Style" w:hAnsi="Bookman Old Style" w:cs="Arial"/>
          <w:bCs/>
          <w:sz w:val="24"/>
          <w:szCs w:val="24"/>
        </w:rPr>
        <w:footnoteReference w:id="7"/>
      </w:r>
      <w:r w:rsidR="00620CA8" w:rsidRPr="00F4096D">
        <w:rPr>
          <w:rFonts w:ascii="Bookman Old Style" w:hAnsi="Bookman Old Style" w:cs="Arial"/>
          <w:bCs/>
          <w:i/>
          <w:iCs/>
          <w:sz w:val="24"/>
          <w:szCs w:val="24"/>
        </w:rPr>
        <w:t>.</w:t>
      </w:r>
      <w:r w:rsidR="00620CA8" w:rsidRPr="00F4096D">
        <w:rPr>
          <w:rFonts w:ascii="Bookman Old Style" w:hAnsi="Bookman Old Style" w:cs="Arial"/>
          <w:i/>
          <w:iCs/>
          <w:sz w:val="24"/>
          <w:szCs w:val="24"/>
        </w:rPr>
        <w:t xml:space="preserve"> </w:t>
      </w:r>
      <w:r w:rsidR="00620CA8" w:rsidRPr="00FA407D">
        <w:rPr>
          <w:rFonts w:ascii="Bookman Old Style" w:hAnsi="Bookman Old Style" w:cs="Arial"/>
          <w:sz w:val="28"/>
          <w:szCs w:val="28"/>
        </w:rPr>
        <w:t>En tal virtud,</w:t>
      </w:r>
      <w:r w:rsidR="00620CA8" w:rsidRPr="00620CA8">
        <w:rPr>
          <w:rFonts w:ascii="Bookman Old Style" w:hAnsi="Bookman Old Style" w:cs="Arial"/>
          <w:sz w:val="24"/>
          <w:szCs w:val="24"/>
        </w:rPr>
        <w:t xml:space="preserve"> </w:t>
      </w:r>
      <w:r w:rsidR="00620CA8">
        <w:rPr>
          <w:rFonts w:ascii="Bookman Old Style" w:hAnsi="Bookman Old Style" w:cs="Arial"/>
          <w:iCs/>
          <w:sz w:val="28"/>
          <w:szCs w:val="28"/>
        </w:rPr>
        <w:t>e</w:t>
      </w:r>
      <w:r w:rsidR="006A17BA" w:rsidRPr="006A17BA">
        <w:rPr>
          <w:rFonts w:ascii="Bookman Old Style" w:hAnsi="Bookman Old Style" w:cs="Arial"/>
          <w:iCs/>
          <w:sz w:val="28"/>
          <w:szCs w:val="28"/>
        </w:rPr>
        <w:t xml:space="preserve">l cambio de titular del despacho </w:t>
      </w:r>
      <w:r w:rsidR="006A17BA">
        <w:rPr>
          <w:rFonts w:ascii="Bookman Old Style" w:hAnsi="Bookman Old Style" w:cs="Arial"/>
          <w:iCs/>
          <w:sz w:val="28"/>
          <w:szCs w:val="28"/>
        </w:rPr>
        <w:t>es una</w:t>
      </w:r>
      <w:r w:rsidR="006F5D11">
        <w:rPr>
          <w:rFonts w:ascii="Bookman Old Style" w:hAnsi="Bookman Old Style" w:cs="Arial"/>
          <w:iCs/>
          <w:sz w:val="28"/>
          <w:szCs w:val="28"/>
        </w:rPr>
        <w:t xml:space="preserve"> </w:t>
      </w:r>
      <w:r w:rsidR="006A17BA">
        <w:rPr>
          <w:rFonts w:ascii="Bookman Old Style" w:hAnsi="Bookman Old Style" w:cs="Arial"/>
          <w:iCs/>
          <w:sz w:val="28"/>
          <w:szCs w:val="28"/>
        </w:rPr>
        <w:t xml:space="preserve">circunstancia que tiene la capacidad para interrumpir el lapso. De </w:t>
      </w:r>
      <w:r w:rsidR="00F36F20">
        <w:rPr>
          <w:rFonts w:ascii="Bookman Old Style" w:hAnsi="Bookman Old Style" w:cs="Arial"/>
          <w:iCs/>
          <w:sz w:val="28"/>
          <w:szCs w:val="28"/>
        </w:rPr>
        <w:t xml:space="preserve">allí que el término se reanude. </w:t>
      </w:r>
    </w:p>
    <w:p w14:paraId="4770F136" w14:textId="77777777" w:rsidR="00FA407D" w:rsidRPr="00620CA8" w:rsidRDefault="00FA407D" w:rsidP="00F92684">
      <w:pPr>
        <w:tabs>
          <w:tab w:val="left" w:pos="1418"/>
          <w:tab w:val="left" w:pos="1985"/>
        </w:tabs>
        <w:spacing w:after="0" w:line="360" w:lineRule="auto"/>
        <w:ind w:firstLine="709"/>
        <w:jc w:val="both"/>
        <w:rPr>
          <w:rFonts w:ascii="Bookman Old Style" w:hAnsi="Bookman Old Style" w:cs="Arial"/>
          <w:i/>
          <w:iCs/>
          <w:sz w:val="24"/>
          <w:szCs w:val="24"/>
        </w:rPr>
      </w:pPr>
    </w:p>
    <w:p w14:paraId="3CA8A19F" w14:textId="75259D8F" w:rsidR="009566AD" w:rsidRDefault="009566AD" w:rsidP="00F92684">
      <w:pPr>
        <w:spacing w:after="0" w:line="360" w:lineRule="auto"/>
        <w:ind w:firstLine="709"/>
        <w:jc w:val="both"/>
        <w:rPr>
          <w:rFonts w:ascii="Bookman Old Style" w:hAnsi="Bookman Old Style"/>
          <w:iCs/>
          <w:sz w:val="28"/>
          <w:szCs w:val="28"/>
        </w:rPr>
      </w:pPr>
      <w:r w:rsidRPr="000529C8">
        <w:rPr>
          <w:rFonts w:ascii="Bookman Old Style" w:hAnsi="Bookman Old Style"/>
          <w:iCs/>
          <w:sz w:val="28"/>
          <w:szCs w:val="28"/>
        </w:rPr>
        <w:t xml:space="preserve">2. Así las cosas, el ataque del censor no encuentra asidero: la nulidad deprecada </w:t>
      </w:r>
      <w:r w:rsidR="00E10FCA">
        <w:rPr>
          <w:rFonts w:ascii="Bookman Old Style" w:hAnsi="Bookman Old Style"/>
          <w:iCs/>
          <w:sz w:val="28"/>
          <w:szCs w:val="28"/>
        </w:rPr>
        <w:t>no se configur</w:t>
      </w:r>
      <w:r w:rsidR="00916DFC">
        <w:rPr>
          <w:rFonts w:ascii="Bookman Old Style" w:hAnsi="Bookman Old Style"/>
          <w:iCs/>
          <w:sz w:val="28"/>
          <w:szCs w:val="28"/>
        </w:rPr>
        <w:t>ó</w:t>
      </w:r>
      <w:r w:rsidR="00E10FCA">
        <w:rPr>
          <w:rFonts w:ascii="Bookman Old Style" w:hAnsi="Bookman Old Style"/>
          <w:iCs/>
          <w:sz w:val="28"/>
          <w:szCs w:val="28"/>
        </w:rPr>
        <w:t xml:space="preserve"> </w:t>
      </w:r>
      <w:r w:rsidRPr="000529C8">
        <w:rPr>
          <w:rFonts w:ascii="Bookman Old Style" w:hAnsi="Bookman Old Style"/>
          <w:iCs/>
          <w:sz w:val="28"/>
          <w:szCs w:val="28"/>
        </w:rPr>
        <w:t>al interior del proceso. Sobre el particular, se aclara lo que viene</w:t>
      </w:r>
      <w:r w:rsidR="00ED5A45">
        <w:rPr>
          <w:rFonts w:ascii="Bookman Old Style" w:hAnsi="Bookman Old Style"/>
          <w:iCs/>
          <w:sz w:val="28"/>
          <w:szCs w:val="28"/>
        </w:rPr>
        <w:t>.</w:t>
      </w:r>
    </w:p>
    <w:p w14:paraId="579B4ED8" w14:textId="77777777" w:rsidR="00FA407D" w:rsidRPr="000529C8" w:rsidRDefault="00FA407D" w:rsidP="00F92684">
      <w:pPr>
        <w:spacing w:after="0" w:line="360" w:lineRule="auto"/>
        <w:ind w:firstLine="709"/>
        <w:jc w:val="both"/>
        <w:rPr>
          <w:rFonts w:ascii="Bookman Old Style" w:hAnsi="Bookman Old Style"/>
          <w:iCs/>
          <w:sz w:val="28"/>
          <w:szCs w:val="28"/>
        </w:rPr>
      </w:pPr>
    </w:p>
    <w:p w14:paraId="3E400B92" w14:textId="3BE97A6F" w:rsidR="00F36F20" w:rsidRDefault="00F36F20" w:rsidP="00F92684">
      <w:pPr>
        <w:spacing w:after="0" w:line="360" w:lineRule="auto"/>
        <w:ind w:firstLine="709"/>
        <w:jc w:val="both"/>
        <w:rPr>
          <w:rFonts w:ascii="Bookman Old Style" w:hAnsi="Bookman Old Style"/>
          <w:iCs/>
          <w:sz w:val="28"/>
          <w:szCs w:val="28"/>
        </w:rPr>
      </w:pPr>
      <w:r w:rsidRPr="00F36F20">
        <w:rPr>
          <w:rFonts w:ascii="Bookman Old Style" w:hAnsi="Bookman Old Style"/>
          <w:iCs/>
          <w:sz w:val="28"/>
          <w:szCs w:val="28"/>
        </w:rPr>
        <w:t xml:space="preserve">2.1. La demanda se recibió el </w:t>
      </w:r>
      <w:r>
        <w:rPr>
          <w:rFonts w:ascii="Bookman Old Style" w:hAnsi="Bookman Old Style"/>
          <w:iCs/>
          <w:sz w:val="28"/>
          <w:szCs w:val="28"/>
        </w:rPr>
        <w:t>6</w:t>
      </w:r>
      <w:r w:rsidRPr="00F36F20">
        <w:rPr>
          <w:rFonts w:ascii="Bookman Old Style" w:hAnsi="Bookman Old Style"/>
          <w:iCs/>
          <w:sz w:val="28"/>
          <w:szCs w:val="28"/>
        </w:rPr>
        <w:t xml:space="preserve"> de </w:t>
      </w:r>
      <w:r>
        <w:rPr>
          <w:rFonts w:ascii="Bookman Old Style" w:hAnsi="Bookman Old Style"/>
          <w:iCs/>
          <w:sz w:val="28"/>
          <w:szCs w:val="28"/>
        </w:rPr>
        <w:t>abril</w:t>
      </w:r>
      <w:r w:rsidRPr="00F36F20">
        <w:rPr>
          <w:rFonts w:ascii="Bookman Old Style" w:hAnsi="Bookman Old Style"/>
          <w:iCs/>
          <w:sz w:val="28"/>
          <w:szCs w:val="28"/>
        </w:rPr>
        <w:t xml:space="preserve"> del 2016</w:t>
      </w:r>
      <w:r w:rsidRPr="00F36F20">
        <w:rPr>
          <w:rStyle w:val="Refdenotaalpie"/>
          <w:rFonts w:ascii="Bookman Old Style" w:hAnsi="Bookman Old Style"/>
          <w:iCs/>
          <w:sz w:val="28"/>
          <w:szCs w:val="28"/>
        </w:rPr>
        <w:footnoteReference w:id="8"/>
      </w:r>
      <w:r w:rsidR="00775C24">
        <w:rPr>
          <w:rFonts w:ascii="Bookman Old Style" w:hAnsi="Bookman Old Style"/>
          <w:iCs/>
          <w:sz w:val="28"/>
          <w:szCs w:val="28"/>
        </w:rPr>
        <w:t xml:space="preserve">, </w:t>
      </w:r>
      <w:r w:rsidRPr="00F36F20">
        <w:rPr>
          <w:rFonts w:ascii="Bookman Old Style" w:hAnsi="Bookman Old Style"/>
          <w:iCs/>
          <w:sz w:val="28"/>
          <w:szCs w:val="28"/>
        </w:rPr>
        <w:t xml:space="preserve">por el Juzgado </w:t>
      </w:r>
      <w:r w:rsidR="00FE6E9E">
        <w:rPr>
          <w:rFonts w:ascii="Bookman Old Style" w:hAnsi="Bookman Old Style"/>
          <w:iCs/>
          <w:sz w:val="28"/>
          <w:szCs w:val="28"/>
        </w:rPr>
        <w:t>C</w:t>
      </w:r>
      <w:r>
        <w:rPr>
          <w:rFonts w:ascii="Bookman Old Style" w:hAnsi="Bookman Old Style"/>
          <w:iCs/>
          <w:sz w:val="28"/>
          <w:szCs w:val="28"/>
        </w:rPr>
        <w:t>u</w:t>
      </w:r>
      <w:r w:rsidR="00FE6E9E">
        <w:rPr>
          <w:rFonts w:ascii="Bookman Old Style" w:hAnsi="Bookman Old Style"/>
          <w:iCs/>
          <w:sz w:val="28"/>
          <w:szCs w:val="28"/>
        </w:rPr>
        <w:t>a</w:t>
      </w:r>
      <w:r>
        <w:rPr>
          <w:rFonts w:ascii="Bookman Old Style" w:hAnsi="Bookman Old Style"/>
          <w:iCs/>
          <w:sz w:val="28"/>
          <w:szCs w:val="28"/>
        </w:rPr>
        <w:t xml:space="preserve">rto </w:t>
      </w:r>
      <w:r w:rsidR="00FE6E9E">
        <w:rPr>
          <w:rFonts w:ascii="Bookman Old Style" w:hAnsi="Bookman Old Style"/>
          <w:iCs/>
          <w:sz w:val="28"/>
          <w:szCs w:val="28"/>
        </w:rPr>
        <w:t>C</w:t>
      </w:r>
      <w:r>
        <w:rPr>
          <w:rFonts w:ascii="Bookman Old Style" w:hAnsi="Bookman Old Style"/>
          <w:iCs/>
          <w:sz w:val="28"/>
          <w:szCs w:val="28"/>
        </w:rPr>
        <w:t>ivil del Circuito</w:t>
      </w:r>
      <w:r w:rsidRPr="00F36F20">
        <w:rPr>
          <w:rFonts w:ascii="Bookman Old Style" w:hAnsi="Bookman Old Style"/>
          <w:iCs/>
          <w:sz w:val="28"/>
          <w:szCs w:val="28"/>
        </w:rPr>
        <w:t xml:space="preserve"> de </w:t>
      </w:r>
      <w:r>
        <w:rPr>
          <w:rFonts w:ascii="Bookman Old Style" w:hAnsi="Bookman Old Style"/>
          <w:iCs/>
          <w:sz w:val="28"/>
          <w:szCs w:val="28"/>
        </w:rPr>
        <w:t>Bogot</w:t>
      </w:r>
      <w:r w:rsidR="00FE6E9E">
        <w:rPr>
          <w:rFonts w:ascii="Bookman Old Style" w:hAnsi="Bookman Old Style"/>
          <w:iCs/>
          <w:sz w:val="28"/>
          <w:szCs w:val="28"/>
        </w:rPr>
        <w:t>á</w:t>
      </w:r>
      <w:r w:rsidRPr="00F36F20">
        <w:rPr>
          <w:rFonts w:ascii="Bookman Old Style" w:hAnsi="Bookman Old Style"/>
          <w:iCs/>
          <w:sz w:val="28"/>
          <w:szCs w:val="28"/>
        </w:rPr>
        <w:t xml:space="preserve">. Fue admitida el </w:t>
      </w:r>
      <w:r w:rsidR="00FE6E9E">
        <w:rPr>
          <w:rFonts w:ascii="Bookman Old Style" w:hAnsi="Bookman Old Style"/>
          <w:iCs/>
          <w:sz w:val="28"/>
          <w:szCs w:val="28"/>
        </w:rPr>
        <w:t>26</w:t>
      </w:r>
      <w:r w:rsidRPr="00F36F20">
        <w:rPr>
          <w:rFonts w:ascii="Bookman Old Style" w:hAnsi="Bookman Old Style"/>
          <w:iCs/>
          <w:sz w:val="28"/>
          <w:szCs w:val="28"/>
        </w:rPr>
        <w:t xml:space="preserve"> de </w:t>
      </w:r>
      <w:r w:rsidR="00FE6E9E">
        <w:rPr>
          <w:rFonts w:ascii="Bookman Old Style" w:hAnsi="Bookman Old Style"/>
          <w:iCs/>
          <w:sz w:val="28"/>
          <w:szCs w:val="28"/>
        </w:rPr>
        <w:t>abril</w:t>
      </w:r>
      <w:r w:rsidRPr="00F36F20">
        <w:rPr>
          <w:rFonts w:ascii="Bookman Old Style" w:hAnsi="Bookman Old Style"/>
          <w:iCs/>
          <w:sz w:val="28"/>
          <w:szCs w:val="28"/>
        </w:rPr>
        <w:t xml:space="preserve"> </w:t>
      </w:r>
      <w:r w:rsidR="00157225" w:rsidRPr="007225E4">
        <w:rPr>
          <w:rFonts w:ascii="Bookman Old Style" w:hAnsi="Bookman Old Style"/>
          <w:iCs/>
          <w:sz w:val="28"/>
          <w:szCs w:val="28"/>
        </w:rPr>
        <w:t>siguiente</w:t>
      </w:r>
      <w:r w:rsidRPr="00F36F20">
        <w:rPr>
          <w:rStyle w:val="Refdenotaalpie"/>
          <w:rFonts w:ascii="Bookman Old Style" w:hAnsi="Bookman Old Style"/>
          <w:iCs/>
          <w:sz w:val="28"/>
          <w:szCs w:val="28"/>
        </w:rPr>
        <w:footnoteReference w:id="9"/>
      </w:r>
      <w:r w:rsidRPr="00F36F20">
        <w:rPr>
          <w:rFonts w:ascii="Bookman Old Style" w:hAnsi="Bookman Old Style"/>
          <w:iCs/>
          <w:sz w:val="28"/>
          <w:szCs w:val="28"/>
        </w:rPr>
        <w:t xml:space="preserve"> </w:t>
      </w:r>
      <w:r w:rsidR="00775C24">
        <w:rPr>
          <w:rFonts w:ascii="Bookman Old Style" w:hAnsi="Bookman Old Style"/>
          <w:iCs/>
          <w:sz w:val="28"/>
          <w:szCs w:val="28"/>
        </w:rPr>
        <w:t>y</w:t>
      </w:r>
      <w:r w:rsidRPr="00F36F20">
        <w:rPr>
          <w:rFonts w:ascii="Bookman Old Style" w:hAnsi="Bookman Old Style"/>
          <w:iCs/>
          <w:sz w:val="28"/>
          <w:szCs w:val="28"/>
        </w:rPr>
        <w:t xml:space="preserve"> notificada al demandante el</w:t>
      </w:r>
      <w:r w:rsidR="00FE6E9E">
        <w:rPr>
          <w:rFonts w:ascii="Bookman Old Style" w:hAnsi="Bookman Old Style"/>
          <w:iCs/>
          <w:sz w:val="28"/>
          <w:szCs w:val="28"/>
        </w:rPr>
        <w:t xml:space="preserve"> día 1</w:t>
      </w:r>
      <w:r w:rsidRPr="00F36F20">
        <w:rPr>
          <w:rFonts w:ascii="Bookman Old Style" w:hAnsi="Bookman Old Style"/>
          <w:iCs/>
          <w:sz w:val="28"/>
          <w:szCs w:val="28"/>
        </w:rPr>
        <w:t xml:space="preserve">1 de </w:t>
      </w:r>
      <w:r w:rsidR="00FE6E9E">
        <w:rPr>
          <w:rFonts w:ascii="Bookman Old Style" w:hAnsi="Bookman Old Style"/>
          <w:iCs/>
          <w:sz w:val="28"/>
          <w:szCs w:val="28"/>
        </w:rPr>
        <w:t>mayo</w:t>
      </w:r>
      <w:r w:rsidRPr="00F36F20">
        <w:rPr>
          <w:rFonts w:ascii="Bookman Old Style" w:hAnsi="Bookman Old Style"/>
          <w:iCs/>
          <w:sz w:val="28"/>
          <w:szCs w:val="28"/>
        </w:rPr>
        <w:t xml:space="preserve">. Por ende, al haber transcurrido menos de 30 días hábiles entre una y otra fecha, </w:t>
      </w:r>
      <w:r w:rsidRPr="007225E4">
        <w:rPr>
          <w:rFonts w:ascii="Bookman Old Style" w:hAnsi="Bookman Old Style"/>
          <w:iCs/>
          <w:sz w:val="28"/>
          <w:szCs w:val="28"/>
        </w:rPr>
        <w:t>el término</w:t>
      </w:r>
      <w:r w:rsidR="00157225">
        <w:rPr>
          <w:rFonts w:ascii="Bookman Old Style" w:hAnsi="Bookman Old Style"/>
          <w:iCs/>
          <w:sz w:val="28"/>
          <w:szCs w:val="28"/>
        </w:rPr>
        <w:t xml:space="preserve"> </w:t>
      </w:r>
      <w:r w:rsidRPr="00F36F20">
        <w:rPr>
          <w:rFonts w:ascii="Bookman Old Style" w:hAnsi="Bookman Old Style"/>
          <w:iCs/>
          <w:sz w:val="28"/>
          <w:szCs w:val="28"/>
        </w:rPr>
        <w:t>comenzó a contarse a partir del día en que se notificó al demandado</w:t>
      </w:r>
      <w:r w:rsidRPr="00F36F20">
        <w:rPr>
          <w:rStyle w:val="Refdenotaalpie"/>
          <w:rFonts w:ascii="Bookman Old Style" w:hAnsi="Bookman Old Style"/>
          <w:iCs/>
          <w:sz w:val="28"/>
          <w:szCs w:val="28"/>
        </w:rPr>
        <w:footnoteReference w:id="10"/>
      </w:r>
      <w:r w:rsidRPr="00F36F20">
        <w:rPr>
          <w:rFonts w:ascii="Bookman Old Style" w:hAnsi="Bookman Old Style"/>
          <w:iCs/>
          <w:sz w:val="28"/>
          <w:szCs w:val="28"/>
        </w:rPr>
        <w:t xml:space="preserve">. </w:t>
      </w:r>
      <w:r w:rsidR="007977AE">
        <w:rPr>
          <w:rFonts w:ascii="Bookman Old Style" w:hAnsi="Bookman Old Style"/>
          <w:iCs/>
          <w:sz w:val="28"/>
          <w:szCs w:val="28"/>
        </w:rPr>
        <w:t>Ya enterada</w:t>
      </w:r>
      <w:r w:rsidRPr="00F36F20">
        <w:rPr>
          <w:rFonts w:ascii="Bookman Old Style" w:hAnsi="Bookman Old Style"/>
          <w:iCs/>
          <w:sz w:val="28"/>
          <w:szCs w:val="28"/>
        </w:rPr>
        <w:t xml:space="preserve"> la parte pasiva </w:t>
      </w:r>
      <w:r w:rsidR="007977AE">
        <w:rPr>
          <w:rFonts w:ascii="Bookman Old Style" w:hAnsi="Bookman Old Style"/>
          <w:iCs/>
          <w:sz w:val="28"/>
          <w:szCs w:val="28"/>
        </w:rPr>
        <w:t>-</w:t>
      </w:r>
      <w:r w:rsidRPr="00F36F20">
        <w:rPr>
          <w:rFonts w:ascii="Bookman Old Style" w:hAnsi="Bookman Old Style"/>
          <w:iCs/>
          <w:sz w:val="28"/>
          <w:szCs w:val="28"/>
        </w:rPr>
        <w:t xml:space="preserve">el </w:t>
      </w:r>
      <w:r w:rsidR="00FE6E9E">
        <w:rPr>
          <w:rFonts w:ascii="Bookman Old Style" w:hAnsi="Bookman Old Style"/>
          <w:iCs/>
          <w:sz w:val="28"/>
          <w:szCs w:val="28"/>
        </w:rPr>
        <w:t>8</w:t>
      </w:r>
      <w:r w:rsidRPr="00F36F20">
        <w:rPr>
          <w:rFonts w:ascii="Bookman Old Style" w:hAnsi="Bookman Old Style"/>
          <w:iCs/>
          <w:sz w:val="28"/>
          <w:szCs w:val="28"/>
        </w:rPr>
        <w:t xml:space="preserve"> de </w:t>
      </w:r>
      <w:r w:rsidR="00FE6E9E">
        <w:rPr>
          <w:rFonts w:ascii="Bookman Old Style" w:hAnsi="Bookman Old Style"/>
          <w:iCs/>
          <w:sz w:val="28"/>
          <w:szCs w:val="28"/>
        </w:rPr>
        <w:t>junio</w:t>
      </w:r>
      <w:r w:rsidRPr="00F36F20">
        <w:rPr>
          <w:rFonts w:ascii="Bookman Old Style" w:hAnsi="Bookman Old Style"/>
          <w:iCs/>
          <w:sz w:val="28"/>
          <w:szCs w:val="28"/>
        </w:rPr>
        <w:t xml:space="preserve"> del 201</w:t>
      </w:r>
      <w:r w:rsidR="00FE6E9E">
        <w:rPr>
          <w:rFonts w:ascii="Bookman Old Style" w:hAnsi="Bookman Old Style"/>
          <w:iCs/>
          <w:sz w:val="28"/>
          <w:szCs w:val="28"/>
        </w:rPr>
        <w:t>6</w:t>
      </w:r>
      <w:r w:rsidRPr="00F36F20">
        <w:rPr>
          <w:rStyle w:val="Refdenotaalpie"/>
          <w:rFonts w:ascii="Bookman Old Style" w:hAnsi="Bookman Old Style"/>
          <w:iCs/>
          <w:sz w:val="28"/>
          <w:szCs w:val="28"/>
        </w:rPr>
        <w:footnoteReference w:id="11"/>
      </w:r>
      <w:r w:rsidR="007977AE">
        <w:rPr>
          <w:rFonts w:ascii="Bookman Old Style" w:hAnsi="Bookman Old Style"/>
          <w:iCs/>
          <w:sz w:val="28"/>
          <w:szCs w:val="28"/>
        </w:rPr>
        <w:t>-</w:t>
      </w:r>
      <w:r w:rsidRPr="00F36F20">
        <w:rPr>
          <w:rFonts w:ascii="Bookman Old Style" w:hAnsi="Bookman Old Style"/>
          <w:iCs/>
          <w:sz w:val="28"/>
          <w:szCs w:val="28"/>
        </w:rPr>
        <w:t>, est</w:t>
      </w:r>
      <w:r w:rsidR="00FE6E9E">
        <w:rPr>
          <w:rFonts w:ascii="Bookman Old Style" w:hAnsi="Bookman Old Style"/>
          <w:iCs/>
          <w:sz w:val="28"/>
          <w:szCs w:val="28"/>
        </w:rPr>
        <w:t>a</w:t>
      </w:r>
      <w:r w:rsidRPr="00F36F20">
        <w:rPr>
          <w:rFonts w:ascii="Bookman Old Style" w:hAnsi="Bookman Old Style"/>
          <w:iCs/>
          <w:sz w:val="28"/>
          <w:szCs w:val="28"/>
        </w:rPr>
        <w:t xml:space="preserve"> contestó oportunamente la demanda</w:t>
      </w:r>
      <w:r w:rsidRPr="00F36F20">
        <w:rPr>
          <w:rStyle w:val="Refdenotaalpie"/>
          <w:rFonts w:ascii="Bookman Old Style" w:hAnsi="Bookman Old Style"/>
          <w:iCs/>
          <w:sz w:val="28"/>
          <w:szCs w:val="28"/>
        </w:rPr>
        <w:footnoteReference w:id="12"/>
      </w:r>
      <w:r w:rsidRPr="00F36F20">
        <w:rPr>
          <w:rFonts w:ascii="Bookman Old Style" w:hAnsi="Bookman Old Style"/>
          <w:iCs/>
          <w:sz w:val="28"/>
          <w:szCs w:val="28"/>
        </w:rPr>
        <w:t>. Una vez se presentó el escrito con que se descorrió el traslado de excepciones</w:t>
      </w:r>
      <w:r w:rsidRPr="00F36F20">
        <w:rPr>
          <w:rStyle w:val="Refdenotaalpie"/>
          <w:rFonts w:ascii="Bookman Old Style" w:hAnsi="Bookman Old Style"/>
          <w:iCs/>
          <w:sz w:val="28"/>
          <w:szCs w:val="28"/>
        </w:rPr>
        <w:footnoteReference w:id="13"/>
      </w:r>
      <w:r w:rsidRPr="00F36F20">
        <w:rPr>
          <w:rFonts w:ascii="Bookman Old Style" w:hAnsi="Bookman Old Style"/>
          <w:iCs/>
          <w:sz w:val="28"/>
          <w:szCs w:val="28"/>
        </w:rPr>
        <w:t xml:space="preserve">, el Despacho profirió auto el </w:t>
      </w:r>
      <w:r w:rsidR="0004584F">
        <w:rPr>
          <w:rFonts w:ascii="Bookman Old Style" w:hAnsi="Bookman Old Style"/>
          <w:iCs/>
          <w:sz w:val="28"/>
          <w:szCs w:val="28"/>
        </w:rPr>
        <w:t>25</w:t>
      </w:r>
      <w:r w:rsidRPr="00F36F20">
        <w:rPr>
          <w:rFonts w:ascii="Bookman Old Style" w:hAnsi="Bookman Old Style"/>
          <w:iCs/>
          <w:sz w:val="28"/>
          <w:szCs w:val="28"/>
        </w:rPr>
        <w:t xml:space="preserve"> de </w:t>
      </w:r>
      <w:r w:rsidR="0004584F">
        <w:rPr>
          <w:rFonts w:ascii="Bookman Old Style" w:hAnsi="Bookman Old Style"/>
          <w:iCs/>
          <w:sz w:val="28"/>
          <w:szCs w:val="28"/>
        </w:rPr>
        <w:t>julio</w:t>
      </w:r>
      <w:r w:rsidRPr="00F36F20">
        <w:rPr>
          <w:rFonts w:ascii="Bookman Old Style" w:hAnsi="Bookman Old Style"/>
          <w:iCs/>
          <w:sz w:val="28"/>
          <w:szCs w:val="28"/>
        </w:rPr>
        <w:t xml:space="preserve"> </w:t>
      </w:r>
      <w:r w:rsidR="007225E4" w:rsidRPr="007225E4">
        <w:rPr>
          <w:rFonts w:ascii="Bookman Old Style" w:hAnsi="Bookman Old Style"/>
          <w:iCs/>
          <w:sz w:val="28"/>
          <w:szCs w:val="28"/>
        </w:rPr>
        <w:t>posterior</w:t>
      </w:r>
      <w:r w:rsidR="0004584F">
        <w:rPr>
          <w:rStyle w:val="Refdenotaalpie"/>
          <w:rFonts w:ascii="Bookman Old Style" w:hAnsi="Bookman Old Style"/>
          <w:iCs/>
          <w:sz w:val="28"/>
          <w:szCs w:val="28"/>
        </w:rPr>
        <w:footnoteReference w:id="14"/>
      </w:r>
      <w:r w:rsidR="0004584F">
        <w:rPr>
          <w:rFonts w:ascii="Bookman Old Style" w:hAnsi="Bookman Old Style"/>
          <w:iCs/>
          <w:sz w:val="28"/>
          <w:szCs w:val="28"/>
        </w:rPr>
        <w:t>, en que decretó la práctica de una prueba pericial.</w:t>
      </w:r>
      <w:r w:rsidRPr="00F36F20">
        <w:rPr>
          <w:rFonts w:ascii="Bookman Old Style" w:hAnsi="Bookman Old Style"/>
          <w:iCs/>
          <w:sz w:val="28"/>
          <w:szCs w:val="28"/>
        </w:rPr>
        <w:t xml:space="preserve"> </w:t>
      </w:r>
      <w:r w:rsidR="0004584F">
        <w:rPr>
          <w:rFonts w:ascii="Bookman Old Style" w:hAnsi="Bookman Old Style"/>
          <w:iCs/>
          <w:sz w:val="28"/>
          <w:szCs w:val="28"/>
        </w:rPr>
        <w:t>En providencia de 1 de septiembre del mismo año</w:t>
      </w:r>
      <w:r w:rsidR="00E559C3">
        <w:rPr>
          <w:rFonts w:ascii="Bookman Old Style" w:hAnsi="Bookman Old Style"/>
          <w:iCs/>
          <w:sz w:val="28"/>
          <w:szCs w:val="28"/>
        </w:rPr>
        <w:t xml:space="preserve"> se</w:t>
      </w:r>
      <w:r w:rsidR="0004584F">
        <w:rPr>
          <w:rFonts w:ascii="Bookman Old Style" w:hAnsi="Bookman Old Style"/>
          <w:iCs/>
          <w:sz w:val="28"/>
          <w:szCs w:val="28"/>
        </w:rPr>
        <w:t xml:space="preserve"> </w:t>
      </w:r>
      <w:r w:rsidRPr="00F36F20">
        <w:rPr>
          <w:rFonts w:ascii="Bookman Old Style" w:hAnsi="Bookman Old Style"/>
          <w:iCs/>
          <w:sz w:val="28"/>
          <w:szCs w:val="28"/>
        </w:rPr>
        <w:t>se</w:t>
      </w:r>
      <w:r w:rsidR="0004584F">
        <w:rPr>
          <w:rFonts w:ascii="Bookman Old Style" w:hAnsi="Bookman Old Style"/>
          <w:iCs/>
          <w:sz w:val="28"/>
          <w:szCs w:val="28"/>
        </w:rPr>
        <w:t>ñal</w:t>
      </w:r>
      <w:r w:rsidR="00E559C3">
        <w:rPr>
          <w:rFonts w:ascii="Bookman Old Style" w:hAnsi="Bookman Old Style"/>
          <w:iCs/>
          <w:sz w:val="28"/>
          <w:szCs w:val="28"/>
        </w:rPr>
        <w:t>ó</w:t>
      </w:r>
      <w:r w:rsidR="0004584F">
        <w:rPr>
          <w:rFonts w:ascii="Bookman Old Style" w:hAnsi="Bookman Old Style"/>
          <w:iCs/>
          <w:sz w:val="28"/>
          <w:szCs w:val="28"/>
        </w:rPr>
        <w:t xml:space="preserve"> el día 19 de octubre </w:t>
      </w:r>
      <w:r w:rsidR="000D2239" w:rsidRPr="007225E4">
        <w:rPr>
          <w:rFonts w:ascii="Bookman Old Style" w:hAnsi="Bookman Old Style"/>
          <w:iCs/>
          <w:sz w:val="28"/>
          <w:szCs w:val="28"/>
        </w:rPr>
        <w:t>ulterior</w:t>
      </w:r>
      <w:r w:rsidRPr="00F36F20">
        <w:rPr>
          <w:rFonts w:ascii="Bookman Old Style" w:hAnsi="Bookman Old Style"/>
          <w:iCs/>
          <w:sz w:val="28"/>
          <w:szCs w:val="28"/>
        </w:rPr>
        <w:t xml:space="preserve"> </w:t>
      </w:r>
      <w:r w:rsidR="0004584F">
        <w:rPr>
          <w:rFonts w:ascii="Bookman Old Style" w:hAnsi="Bookman Old Style"/>
          <w:iCs/>
          <w:sz w:val="28"/>
          <w:szCs w:val="28"/>
        </w:rPr>
        <w:t xml:space="preserve">como la </w:t>
      </w:r>
      <w:r w:rsidRPr="00F36F20">
        <w:rPr>
          <w:rFonts w:ascii="Bookman Old Style" w:hAnsi="Bookman Old Style"/>
          <w:iCs/>
          <w:sz w:val="28"/>
          <w:szCs w:val="28"/>
        </w:rPr>
        <w:t>fecha para la</w:t>
      </w:r>
      <w:r w:rsidR="0004584F">
        <w:rPr>
          <w:rFonts w:ascii="Bookman Old Style" w:hAnsi="Bookman Old Style"/>
          <w:iCs/>
          <w:sz w:val="28"/>
          <w:szCs w:val="28"/>
        </w:rPr>
        <w:t xml:space="preserve"> celebración de la</w:t>
      </w:r>
      <w:r w:rsidRPr="00F36F20">
        <w:rPr>
          <w:rFonts w:ascii="Bookman Old Style" w:hAnsi="Bookman Old Style"/>
          <w:iCs/>
          <w:sz w:val="28"/>
          <w:szCs w:val="28"/>
        </w:rPr>
        <w:t xml:space="preserve"> </w:t>
      </w:r>
      <w:r w:rsidR="0004584F">
        <w:rPr>
          <w:rFonts w:ascii="Bookman Old Style" w:hAnsi="Bookman Old Style"/>
          <w:iCs/>
          <w:sz w:val="28"/>
          <w:szCs w:val="28"/>
        </w:rPr>
        <w:t xml:space="preserve">audiencia del </w:t>
      </w:r>
      <w:r w:rsidR="0004584F">
        <w:rPr>
          <w:rFonts w:ascii="Bookman Old Style" w:hAnsi="Bookman Old Style"/>
          <w:iCs/>
          <w:sz w:val="28"/>
          <w:szCs w:val="28"/>
        </w:rPr>
        <w:lastRenderedPageBreak/>
        <w:t>372 del CGP</w:t>
      </w:r>
      <w:r w:rsidR="00ED5120">
        <w:rPr>
          <w:rFonts w:ascii="Bookman Old Style" w:hAnsi="Bookman Old Style"/>
          <w:iCs/>
          <w:sz w:val="28"/>
          <w:szCs w:val="28"/>
        </w:rPr>
        <w:t xml:space="preserve">, jornada en la cual </w:t>
      </w:r>
      <w:r w:rsidR="007977AE">
        <w:rPr>
          <w:rFonts w:ascii="Bookman Old Style" w:hAnsi="Bookman Old Style"/>
          <w:iCs/>
          <w:sz w:val="28"/>
          <w:szCs w:val="28"/>
        </w:rPr>
        <w:t xml:space="preserve">se </w:t>
      </w:r>
      <w:r w:rsidR="00ED5120">
        <w:rPr>
          <w:rFonts w:ascii="Bookman Old Style" w:hAnsi="Bookman Old Style"/>
          <w:iCs/>
          <w:sz w:val="28"/>
          <w:szCs w:val="28"/>
        </w:rPr>
        <w:t>dictó sentencia</w:t>
      </w:r>
      <w:r w:rsidR="007977AE">
        <w:rPr>
          <w:rFonts w:ascii="Bookman Old Style" w:hAnsi="Bookman Old Style"/>
          <w:iCs/>
          <w:sz w:val="28"/>
          <w:szCs w:val="28"/>
        </w:rPr>
        <w:t xml:space="preserve"> y se declararon</w:t>
      </w:r>
      <w:r w:rsidR="00ED5120">
        <w:rPr>
          <w:rFonts w:ascii="Bookman Old Style" w:hAnsi="Bookman Old Style"/>
          <w:iCs/>
          <w:sz w:val="28"/>
          <w:szCs w:val="28"/>
        </w:rPr>
        <w:t xml:space="preserve"> probadas </w:t>
      </w:r>
      <w:r w:rsidR="0017009D">
        <w:rPr>
          <w:rFonts w:ascii="Bookman Old Style" w:hAnsi="Bookman Old Style"/>
          <w:iCs/>
          <w:sz w:val="28"/>
          <w:szCs w:val="28"/>
        </w:rPr>
        <w:t>las excepciones</w:t>
      </w:r>
      <w:r w:rsidR="00ED5120">
        <w:rPr>
          <w:rFonts w:ascii="Bookman Old Style" w:hAnsi="Bookman Old Style"/>
          <w:iCs/>
          <w:sz w:val="28"/>
          <w:szCs w:val="28"/>
        </w:rPr>
        <w:t xml:space="preserve"> de mérito</w:t>
      </w:r>
      <w:r w:rsidR="00ED5120">
        <w:rPr>
          <w:rStyle w:val="Refdenotaalpie"/>
          <w:rFonts w:ascii="Bookman Old Style" w:hAnsi="Bookman Old Style"/>
          <w:iCs/>
          <w:sz w:val="28"/>
          <w:szCs w:val="28"/>
        </w:rPr>
        <w:footnoteReference w:id="15"/>
      </w:r>
      <w:r w:rsidR="00ED5120">
        <w:rPr>
          <w:rFonts w:ascii="Bookman Old Style" w:hAnsi="Bookman Old Style"/>
          <w:iCs/>
          <w:sz w:val="28"/>
          <w:szCs w:val="28"/>
        </w:rPr>
        <w:t xml:space="preserve">. </w:t>
      </w:r>
    </w:p>
    <w:p w14:paraId="66FF67CD" w14:textId="77777777" w:rsidR="00ED5120" w:rsidRPr="00F36F20" w:rsidRDefault="00ED5120" w:rsidP="00F92684">
      <w:pPr>
        <w:spacing w:after="0" w:line="360" w:lineRule="auto"/>
        <w:ind w:firstLine="709"/>
        <w:jc w:val="both"/>
        <w:rPr>
          <w:rFonts w:ascii="Bookman Old Style" w:hAnsi="Bookman Old Style"/>
          <w:iCs/>
          <w:sz w:val="28"/>
          <w:szCs w:val="28"/>
        </w:rPr>
      </w:pPr>
    </w:p>
    <w:p w14:paraId="3D401F1E" w14:textId="7A2BB5E5" w:rsidR="00E559C3" w:rsidRDefault="00F36F20" w:rsidP="00070745">
      <w:pPr>
        <w:spacing w:after="0" w:line="360" w:lineRule="auto"/>
        <w:ind w:firstLine="709"/>
        <w:jc w:val="both"/>
        <w:rPr>
          <w:rFonts w:ascii="Bookman Old Style" w:hAnsi="Bookman Old Style"/>
          <w:iCs/>
          <w:sz w:val="28"/>
          <w:szCs w:val="28"/>
        </w:rPr>
      </w:pPr>
      <w:r w:rsidRPr="00F36F20">
        <w:rPr>
          <w:rFonts w:ascii="Bookman Old Style" w:hAnsi="Bookman Old Style"/>
          <w:iCs/>
          <w:sz w:val="28"/>
          <w:szCs w:val="28"/>
        </w:rPr>
        <w:t>2.2. Inconforme con tal proveído, el convoca</w:t>
      </w:r>
      <w:r w:rsidR="00ED5120">
        <w:rPr>
          <w:rFonts w:ascii="Bookman Old Style" w:hAnsi="Bookman Old Style"/>
          <w:iCs/>
          <w:sz w:val="28"/>
          <w:szCs w:val="28"/>
        </w:rPr>
        <w:t>nte</w:t>
      </w:r>
      <w:r w:rsidRPr="00F36F20">
        <w:rPr>
          <w:rFonts w:ascii="Bookman Old Style" w:hAnsi="Bookman Old Style"/>
          <w:iCs/>
          <w:sz w:val="28"/>
          <w:szCs w:val="28"/>
        </w:rPr>
        <w:t xml:space="preserve"> presentó recurso de apelación</w:t>
      </w:r>
      <w:r w:rsidR="007977AE">
        <w:rPr>
          <w:rFonts w:ascii="Bookman Old Style" w:hAnsi="Bookman Old Style"/>
          <w:iCs/>
          <w:sz w:val="28"/>
          <w:szCs w:val="28"/>
        </w:rPr>
        <w:t xml:space="preserve"> -que fue </w:t>
      </w:r>
      <w:r w:rsidR="00ED5120">
        <w:rPr>
          <w:rFonts w:ascii="Bookman Old Style" w:hAnsi="Bookman Old Style"/>
          <w:iCs/>
          <w:sz w:val="28"/>
          <w:szCs w:val="28"/>
        </w:rPr>
        <w:t>concedido</w:t>
      </w:r>
      <w:r w:rsidR="007977AE">
        <w:rPr>
          <w:rFonts w:ascii="Bookman Old Style" w:hAnsi="Bookman Old Style"/>
          <w:iCs/>
          <w:sz w:val="28"/>
          <w:szCs w:val="28"/>
        </w:rPr>
        <w:t>-</w:t>
      </w:r>
      <w:r w:rsidR="00ED5120">
        <w:rPr>
          <w:rFonts w:ascii="Bookman Old Style" w:hAnsi="Bookman Old Style"/>
          <w:iCs/>
          <w:sz w:val="28"/>
          <w:szCs w:val="28"/>
        </w:rPr>
        <w:t>.</w:t>
      </w:r>
      <w:r w:rsidR="00E559C3">
        <w:rPr>
          <w:rFonts w:ascii="Bookman Old Style" w:hAnsi="Bookman Old Style"/>
          <w:iCs/>
          <w:sz w:val="28"/>
          <w:szCs w:val="28"/>
        </w:rPr>
        <w:t xml:space="preserve"> El Tribunal recibió el proceso el 26 de octubre del 2016</w:t>
      </w:r>
      <w:r w:rsidR="00E559C3">
        <w:rPr>
          <w:rStyle w:val="Refdenotaalpie"/>
          <w:rFonts w:ascii="Bookman Old Style" w:hAnsi="Bookman Old Style"/>
          <w:iCs/>
          <w:sz w:val="28"/>
          <w:szCs w:val="28"/>
        </w:rPr>
        <w:footnoteReference w:id="16"/>
      </w:r>
      <w:r w:rsidR="00CD0896">
        <w:rPr>
          <w:rFonts w:ascii="Bookman Old Style" w:hAnsi="Bookman Old Style"/>
          <w:iCs/>
          <w:sz w:val="28"/>
          <w:szCs w:val="28"/>
        </w:rPr>
        <w:t>. A</w:t>
      </w:r>
      <w:r w:rsidR="00E559C3">
        <w:rPr>
          <w:rFonts w:ascii="Bookman Old Style" w:hAnsi="Bookman Old Style"/>
          <w:iCs/>
          <w:sz w:val="28"/>
          <w:szCs w:val="28"/>
        </w:rPr>
        <w:t>dmiti</w:t>
      </w:r>
      <w:r w:rsidR="00CD0896">
        <w:rPr>
          <w:rFonts w:ascii="Bookman Old Style" w:hAnsi="Bookman Old Style"/>
          <w:iCs/>
          <w:sz w:val="28"/>
          <w:szCs w:val="28"/>
        </w:rPr>
        <w:t>ó</w:t>
      </w:r>
      <w:r w:rsidR="00E559C3">
        <w:rPr>
          <w:rFonts w:ascii="Bookman Old Style" w:hAnsi="Bookman Old Style"/>
          <w:iCs/>
          <w:sz w:val="28"/>
          <w:szCs w:val="28"/>
        </w:rPr>
        <w:t xml:space="preserve"> la alzada el</w:t>
      </w:r>
      <w:r w:rsidR="00ED5120">
        <w:rPr>
          <w:rFonts w:ascii="Bookman Old Style" w:hAnsi="Bookman Old Style"/>
          <w:iCs/>
          <w:sz w:val="28"/>
          <w:szCs w:val="28"/>
        </w:rPr>
        <w:t xml:space="preserve"> 28 de noviembre </w:t>
      </w:r>
      <w:r w:rsidR="00E559C3">
        <w:rPr>
          <w:rFonts w:ascii="Bookman Old Style" w:hAnsi="Bookman Old Style"/>
          <w:iCs/>
          <w:sz w:val="28"/>
          <w:szCs w:val="28"/>
        </w:rPr>
        <w:t>siguiente</w:t>
      </w:r>
      <w:r w:rsidR="00ED5120">
        <w:rPr>
          <w:rStyle w:val="Refdenotaalpie"/>
          <w:rFonts w:ascii="Bookman Old Style" w:hAnsi="Bookman Old Style"/>
          <w:iCs/>
          <w:sz w:val="28"/>
          <w:szCs w:val="28"/>
        </w:rPr>
        <w:footnoteReference w:id="17"/>
      </w:r>
      <w:r w:rsidR="00ED5120">
        <w:rPr>
          <w:rFonts w:ascii="Bookman Old Style" w:hAnsi="Bookman Old Style"/>
          <w:iCs/>
          <w:sz w:val="28"/>
          <w:szCs w:val="28"/>
        </w:rPr>
        <w:t>.</w:t>
      </w:r>
      <w:r w:rsidR="00D23D95">
        <w:rPr>
          <w:rFonts w:ascii="Bookman Old Style" w:hAnsi="Bookman Old Style"/>
          <w:iCs/>
          <w:sz w:val="28"/>
          <w:szCs w:val="28"/>
        </w:rPr>
        <w:t xml:space="preserve"> El 25 de abril de 2017, </w:t>
      </w:r>
      <w:r w:rsidR="00E559C3">
        <w:rPr>
          <w:rFonts w:ascii="Bookman Old Style" w:hAnsi="Bookman Old Style"/>
          <w:iCs/>
          <w:sz w:val="28"/>
          <w:szCs w:val="28"/>
        </w:rPr>
        <w:t xml:space="preserve">se </w:t>
      </w:r>
      <w:r w:rsidRPr="00F36F20">
        <w:rPr>
          <w:rFonts w:ascii="Bookman Old Style" w:hAnsi="Bookman Old Style"/>
          <w:iCs/>
          <w:sz w:val="28"/>
          <w:szCs w:val="28"/>
        </w:rPr>
        <w:t>prorrog</w:t>
      </w:r>
      <w:r w:rsidR="00D23D95">
        <w:rPr>
          <w:rFonts w:ascii="Bookman Old Style" w:hAnsi="Bookman Old Style"/>
          <w:iCs/>
          <w:sz w:val="28"/>
          <w:szCs w:val="28"/>
        </w:rPr>
        <w:t>ó</w:t>
      </w:r>
      <w:r w:rsidRPr="00F36F20">
        <w:rPr>
          <w:rFonts w:ascii="Bookman Old Style" w:hAnsi="Bookman Old Style"/>
          <w:iCs/>
          <w:sz w:val="28"/>
          <w:szCs w:val="28"/>
        </w:rPr>
        <w:t xml:space="preserve"> el término para fallar por 6 meses más</w:t>
      </w:r>
      <w:r w:rsidRPr="00F36F20">
        <w:rPr>
          <w:rStyle w:val="Refdenotaalpie"/>
          <w:rFonts w:ascii="Bookman Old Style" w:hAnsi="Bookman Old Style"/>
          <w:iCs/>
          <w:sz w:val="28"/>
          <w:szCs w:val="28"/>
        </w:rPr>
        <w:footnoteReference w:id="18"/>
      </w:r>
      <w:r w:rsidRPr="00F36F20">
        <w:rPr>
          <w:rFonts w:ascii="Bookman Old Style" w:hAnsi="Bookman Old Style"/>
          <w:iCs/>
          <w:sz w:val="28"/>
          <w:szCs w:val="28"/>
        </w:rPr>
        <w:t xml:space="preserve">. El 19 de </w:t>
      </w:r>
      <w:r w:rsidR="00D23D95">
        <w:rPr>
          <w:rFonts w:ascii="Bookman Old Style" w:hAnsi="Bookman Old Style"/>
          <w:iCs/>
          <w:sz w:val="28"/>
          <w:szCs w:val="28"/>
        </w:rPr>
        <w:t>enero del 2018</w:t>
      </w:r>
      <w:r w:rsidRPr="00F36F20">
        <w:rPr>
          <w:rFonts w:ascii="Bookman Old Style" w:hAnsi="Bookman Old Style"/>
          <w:iCs/>
          <w:sz w:val="28"/>
          <w:szCs w:val="28"/>
        </w:rPr>
        <w:t>, el apoderado del demanda</w:t>
      </w:r>
      <w:r w:rsidR="00D23D95">
        <w:rPr>
          <w:rFonts w:ascii="Bookman Old Style" w:hAnsi="Bookman Old Style"/>
          <w:iCs/>
          <w:sz w:val="28"/>
          <w:szCs w:val="28"/>
        </w:rPr>
        <w:t>nte</w:t>
      </w:r>
      <w:r w:rsidRPr="00F36F20">
        <w:rPr>
          <w:rFonts w:ascii="Bookman Old Style" w:hAnsi="Bookman Old Style"/>
          <w:iCs/>
          <w:sz w:val="28"/>
          <w:szCs w:val="28"/>
        </w:rPr>
        <w:t xml:space="preserve"> propuso </w:t>
      </w:r>
      <w:r w:rsidR="00D23D95">
        <w:rPr>
          <w:rFonts w:ascii="Bookman Old Style" w:hAnsi="Bookman Old Style"/>
          <w:iCs/>
          <w:sz w:val="28"/>
          <w:szCs w:val="28"/>
        </w:rPr>
        <w:t>la p</w:t>
      </w:r>
      <w:r w:rsidR="00E559C3">
        <w:rPr>
          <w:rFonts w:ascii="Bookman Old Style" w:hAnsi="Bookman Old Style"/>
          <w:iCs/>
          <w:sz w:val="28"/>
          <w:szCs w:val="28"/>
        </w:rPr>
        <w:t>é</w:t>
      </w:r>
      <w:r w:rsidR="00D23D95">
        <w:rPr>
          <w:rFonts w:ascii="Bookman Old Style" w:hAnsi="Bookman Old Style"/>
          <w:iCs/>
          <w:sz w:val="28"/>
          <w:szCs w:val="28"/>
        </w:rPr>
        <w:t>rdida de competencia</w:t>
      </w:r>
      <w:r w:rsidR="00AF4909">
        <w:rPr>
          <w:rFonts w:ascii="Bookman Old Style" w:hAnsi="Bookman Old Style"/>
          <w:iCs/>
          <w:sz w:val="28"/>
          <w:szCs w:val="28"/>
        </w:rPr>
        <w:t>, por no haberse proferido fallo dentro del término de la prórroga</w:t>
      </w:r>
      <w:r w:rsidRPr="00F36F20">
        <w:rPr>
          <w:rFonts w:ascii="Bookman Old Style" w:hAnsi="Bookman Old Style"/>
          <w:iCs/>
          <w:sz w:val="28"/>
          <w:szCs w:val="28"/>
        </w:rPr>
        <w:t>.</w:t>
      </w:r>
      <w:r w:rsidRPr="00F36F20">
        <w:rPr>
          <w:rStyle w:val="Refdenotaalpie"/>
          <w:rFonts w:ascii="Bookman Old Style" w:hAnsi="Bookman Old Style"/>
          <w:iCs/>
          <w:sz w:val="28"/>
          <w:szCs w:val="28"/>
        </w:rPr>
        <w:footnoteReference w:id="19"/>
      </w:r>
      <w:r w:rsidRPr="00F36F20">
        <w:rPr>
          <w:rFonts w:ascii="Bookman Old Style" w:hAnsi="Bookman Old Style"/>
          <w:iCs/>
          <w:sz w:val="28"/>
          <w:szCs w:val="28"/>
        </w:rPr>
        <w:t xml:space="preserve"> </w:t>
      </w:r>
      <w:r w:rsidR="00D23D95">
        <w:rPr>
          <w:rFonts w:ascii="Bookman Old Style" w:hAnsi="Bookman Old Style"/>
          <w:iCs/>
          <w:sz w:val="28"/>
          <w:szCs w:val="28"/>
        </w:rPr>
        <w:t>El 2</w:t>
      </w:r>
      <w:r w:rsidR="00AF4909">
        <w:rPr>
          <w:rFonts w:ascii="Bookman Old Style" w:hAnsi="Bookman Old Style"/>
          <w:iCs/>
          <w:sz w:val="28"/>
          <w:szCs w:val="28"/>
        </w:rPr>
        <w:t>4</w:t>
      </w:r>
      <w:r w:rsidR="00D23D95">
        <w:rPr>
          <w:rFonts w:ascii="Bookman Old Style" w:hAnsi="Bookman Old Style"/>
          <w:iCs/>
          <w:sz w:val="28"/>
          <w:szCs w:val="28"/>
        </w:rPr>
        <w:t xml:space="preserve"> d</w:t>
      </w:r>
      <w:r w:rsidR="00AF4909">
        <w:rPr>
          <w:rFonts w:ascii="Bookman Old Style" w:hAnsi="Bookman Old Style"/>
          <w:iCs/>
          <w:sz w:val="28"/>
          <w:szCs w:val="28"/>
        </w:rPr>
        <w:t>el referido mes,</w:t>
      </w:r>
      <w:r w:rsidR="00D23D95">
        <w:rPr>
          <w:rFonts w:ascii="Bookman Old Style" w:hAnsi="Bookman Old Style"/>
          <w:iCs/>
          <w:sz w:val="28"/>
          <w:szCs w:val="28"/>
        </w:rPr>
        <w:t xml:space="preserve"> el despacho resolvió negar </w:t>
      </w:r>
      <w:r w:rsidR="00AF4909">
        <w:rPr>
          <w:rFonts w:ascii="Bookman Old Style" w:hAnsi="Bookman Old Style"/>
          <w:iCs/>
          <w:sz w:val="28"/>
          <w:szCs w:val="28"/>
        </w:rPr>
        <w:t>la solicitud en tanto</w:t>
      </w:r>
      <w:r w:rsidR="00E559C3">
        <w:rPr>
          <w:rFonts w:ascii="Bookman Old Style" w:hAnsi="Bookman Old Style"/>
          <w:iCs/>
          <w:sz w:val="28"/>
          <w:szCs w:val="28"/>
        </w:rPr>
        <w:t xml:space="preserve"> que</w:t>
      </w:r>
      <w:r w:rsidR="00AF4909">
        <w:rPr>
          <w:rFonts w:ascii="Bookman Old Style" w:hAnsi="Bookman Old Style"/>
          <w:iCs/>
          <w:sz w:val="28"/>
          <w:szCs w:val="28"/>
        </w:rPr>
        <w:t xml:space="preserve"> «</w:t>
      </w:r>
      <w:r w:rsidR="00E559C3" w:rsidRPr="007225E4">
        <w:rPr>
          <w:rFonts w:ascii="Bookman Old Style" w:hAnsi="Bookman Old Style"/>
          <w:i/>
          <w:sz w:val="24"/>
          <w:szCs w:val="24"/>
        </w:rPr>
        <w:t>[e]</w:t>
      </w:r>
      <w:r w:rsidR="00AF4909" w:rsidRPr="007225E4">
        <w:rPr>
          <w:rFonts w:ascii="Bookman Old Style" w:hAnsi="Bookman Old Style"/>
          <w:i/>
          <w:sz w:val="24"/>
          <w:szCs w:val="24"/>
        </w:rPr>
        <w:t>l 1 de julio de 2017</w:t>
      </w:r>
      <w:r w:rsidR="0027686A" w:rsidRPr="007225E4">
        <w:rPr>
          <w:rFonts w:ascii="Bookman Old Style" w:hAnsi="Bookman Old Style"/>
          <w:i/>
          <w:sz w:val="24"/>
          <w:szCs w:val="24"/>
        </w:rPr>
        <w:t>,</w:t>
      </w:r>
      <w:r w:rsidR="00AF4909" w:rsidRPr="007225E4">
        <w:rPr>
          <w:rFonts w:ascii="Bookman Old Style" w:hAnsi="Bookman Old Style"/>
          <w:i/>
          <w:sz w:val="24"/>
          <w:szCs w:val="24"/>
        </w:rPr>
        <w:t xml:space="preserve"> el Magistrado que tomó tales decisiones hizo dejación del cargo, de manera temporal por haber sido designado en otro y el despacho permaneció acéfalo hasta el 30 de agosto de 2017</w:t>
      </w:r>
      <w:r w:rsidR="0027686A" w:rsidRPr="007225E4">
        <w:rPr>
          <w:rFonts w:ascii="Bookman Old Style" w:hAnsi="Bookman Old Style"/>
          <w:i/>
          <w:sz w:val="24"/>
          <w:szCs w:val="24"/>
        </w:rPr>
        <w:t xml:space="preserve">. </w:t>
      </w:r>
      <w:r w:rsidR="00CD0896" w:rsidRPr="007225E4">
        <w:rPr>
          <w:rFonts w:ascii="Bookman Old Style" w:hAnsi="Bookman Old Style"/>
          <w:i/>
          <w:sz w:val="24"/>
          <w:szCs w:val="24"/>
        </w:rPr>
        <w:t>(...)</w:t>
      </w:r>
      <w:r w:rsidR="0027686A" w:rsidRPr="007225E4">
        <w:rPr>
          <w:rFonts w:ascii="Bookman Old Style" w:hAnsi="Bookman Old Style"/>
          <w:i/>
          <w:sz w:val="24"/>
          <w:szCs w:val="24"/>
        </w:rPr>
        <w:t xml:space="preserve"> Que</w:t>
      </w:r>
      <w:r w:rsidR="00AF4909" w:rsidRPr="007225E4">
        <w:rPr>
          <w:rFonts w:ascii="Bookman Old Style" w:hAnsi="Bookman Old Style"/>
          <w:i/>
          <w:sz w:val="24"/>
          <w:szCs w:val="24"/>
        </w:rPr>
        <w:t xml:space="preserve"> desde </w:t>
      </w:r>
      <w:r w:rsidR="00AF4909" w:rsidRPr="007225E4">
        <w:rPr>
          <w:rFonts w:ascii="Bookman Old Style" w:hAnsi="Bookman Old Style"/>
          <w:b/>
          <w:bCs/>
          <w:i/>
          <w:sz w:val="24"/>
          <w:szCs w:val="24"/>
        </w:rPr>
        <w:t>el 1 de septiembre de 2017</w:t>
      </w:r>
      <w:r w:rsidR="00AF4909" w:rsidRPr="007225E4">
        <w:rPr>
          <w:rFonts w:ascii="Bookman Old Style" w:hAnsi="Bookman Old Style"/>
          <w:i/>
          <w:sz w:val="24"/>
          <w:szCs w:val="24"/>
        </w:rPr>
        <w:t xml:space="preserve"> la suscrita tomó posesión del cargo (...). </w:t>
      </w:r>
      <w:r w:rsidR="00AF4909" w:rsidRPr="007225E4">
        <w:rPr>
          <w:rFonts w:ascii="Bookman Old Style" w:hAnsi="Bookman Old Style"/>
          <w:i/>
          <w:sz w:val="24"/>
          <w:szCs w:val="24"/>
          <w:lang w:val="es-MX"/>
        </w:rPr>
        <w:t xml:space="preserve">por tal motivo la actual titular del despacho, según el artículo 121 del C.G.P, tiene como término máximo para </w:t>
      </w:r>
      <w:r w:rsidR="00AF4909" w:rsidRPr="007225E4">
        <w:rPr>
          <w:rFonts w:ascii="Bookman Old Style" w:hAnsi="Bookman Old Style"/>
          <w:b/>
          <w:bCs/>
          <w:i/>
          <w:sz w:val="24"/>
          <w:szCs w:val="24"/>
          <w:lang w:val="es-MX"/>
        </w:rPr>
        <w:t>pronunciarse el 01 de marzo de 2018»</w:t>
      </w:r>
      <w:r w:rsidR="007704EA" w:rsidRPr="007225E4">
        <w:rPr>
          <w:rStyle w:val="Refdenotaalpie"/>
          <w:rFonts w:ascii="Bookman Old Style" w:hAnsi="Bookman Old Style"/>
          <w:iCs/>
          <w:sz w:val="24"/>
          <w:szCs w:val="24"/>
          <w:lang w:val="es-MX"/>
        </w:rPr>
        <w:footnoteReference w:id="20"/>
      </w:r>
      <w:r w:rsidR="00E559C3" w:rsidRPr="007225E4">
        <w:rPr>
          <w:rFonts w:ascii="Bookman Old Style" w:hAnsi="Bookman Old Style"/>
          <w:iCs/>
          <w:sz w:val="24"/>
          <w:szCs w:val="24"/>
          <w:lang w:val="es-MX"/>
        </w:rPr>
        <w:t>.</w:t>
      </w:r>
      <w:r w:rsidR="00AF4909" w:rsidRPr="007704EA">
        <w:rPr>
          <w:rFonts w:ascii="Bookman Old Style" w:hAnsi="Bookman Old Style"/>
          <w:iCs/>
          <w:sz w:val="24"/>
          <w:szCs w:val="24"/>
          <w:lang w:val="es-MX"/>
        </w:rPr>
        <w:t xml:space="preserve">  </w:t>
      </w:r>
      <w:r w:rsidR="00AF4909" w:rsidRPr="002401DA">
        <w:rPr>
          <w:rFonts w:ascii="Bookman Old Style" w:hAnsi="Bookman Old Style"/>
          <w:iCs/>
          <w:sz w:val="28"/>
          <w:szCs w:val="28"/>
          <w:lang w:val="es-MX"/>
        </w:rPr>
        <w:t>El 15 de febrero de 2018</w:t>
      </w:r>
      <w:r w:rsidR="00A21F3A">
        <w:rPr>
          <w:rFonts w:ascii="Bookman Old Style" w:hAnsi="Bookman Old Style"/>
          <w:iCs/>
          <w:sz w:val="28"/>
          <w:szCs w:val="28"/>
          <w:lang w:val="es-MX"/>
        </w:rPr>
        <w:t xml:space="preserve"> se</w:t>
      </w:r>
      <w:r w:rsidR="00AF4909" w:rsidRPr="002401DA">
        <w:rPr>
          <w:rFonts w:ascii="Bookman Old Style" w:hAnsi="Bookman Old Style"/>
          <w:iCs/>
          <w:sz w:val="28"/>
          <w:szCs w:val="28"/>
          <w:lang w:val="es-MX"/>
        </w:rPr>
        <w:t xml:space="preserve"> fijó fecha</w:t>
      </w:r>
      <w:r w:rsidR="002401DA" w:rsidRPr="002401DA">
        <w:rPr>
          <w:rFonts w:ascii="Bookman Old Style" w:hAnsi="Bookman Old Style"/>
          <w:iCs/>
          <w:sz w:val="28"/>
          <w:szCs w:val="28"/>
          <w:lang w:val="es-MX"/>
        </w:rPr>
        <w:t xml:space="preserve"> para ll</w:t>
      </w:r>
      <w:r w:rsidR="002401DA">
        <w:rPr>
          <w:rFonts w:ascii="Bookman Old Style" w:hAnsi="Bookman Old Style"/>
          <w:iCs/>
          <w:sz w:val="28"/>
          <w:szCs w:val="28"/>
          <w:lang w:val="es-MX"/>
        </w:rPr>
        <w:t>e</w:t>
      </w:r>
      <w:r w:rsidR="002401DA" w:rsidRPr="002401DA">
        <w:rPr>
          <w:rFonts w:ascii="Bookman Old Style" w:hAnsi="Bookman Old Style"/>
          <w:iCs/>
          <w:sz w:val="28"/>
          <w:szCs w:val="28"/>
          <w:lang w:val="es-MX"/>
        </w:rPr>
        <w:t>var a cabo la audiencia del 327</w:t>
      </w:r>
      <w:r w:rsidR="00CD0896">
        <w:rPr>
          <w:rFonts w:ascii="Bookman Old Style" w:hAnsi="Bookman Old Style"/>
          <w:iCs/>
          <w:sz w:val="28"/>
          <w:szCs w:val="28"/>
          <w:lang w:val="es-MX"/>
        </w:rPr>
        <w:t xml:space="preserve"> del CGP</w:t>
      </w:r>
      <w:r w:rsidR="00DC04CB">
        <w:rPr>
          <w:rFonts w:ascii="Bookman Old Style" w:hAnsi="Bookman Old Style"/>
          <w:iCs/>
          <w:sz w:val="28"/>
          <w:szCs w:val="28"/>
          <w:lang w:val="es-MX"/>
        </w:rPr>
        <w:t>.</w:t>
      </w:r>
      <w:r w:rsidR="00E559C3">
        <w:rPr>
          <w:rFonts w:ascii="Bookman Old Style" w:hAnsi="Bookman Old Style"/>
          <w:iCs/>
          <w:sz w:val="28"/>
          <w:szCs w:val="28"/>
          <w:lang w:val="es-MX"/>
        </w:rPr>
        <w:t xml:space="preserve"> </w:t>
      </w:r>
      <w:r w:rsidR="00DC04CB">
        <w:rPr>
          <w:rFonts w:ascii="Bookman Old Style" w:hAnsi="Bookman Old Style"/>
          <w:iCs/>
          <w:sz w:val="28"/>
          <w:szCs w:val="28"/>
          <w:lang w:val="es-MX"/>
        </w:rPr>
        <w:t>Y</w:t>
      </w:r>
      <w:r w:rsidR="00E559C3">
        <w:rPr>
          <w:rFonts w:ascii="Bookman Old Style" w:hAnsi="Bookman Old Style"/>
          <w:iCs/>
          <w:sz w:val="28"/>
          <w:szCs w:val="28"/>
          <w:lang w:val="es-MX"/>
        </w:rPr>
        <w:t>, finalmente,</w:t>
      </w:r>
      <w:r w:rsidR="002401DA">
        <w:rPr>
          <w:rFonts w:ascii="Bookman Old Style" w:hAnsi="Bookman Old Style"/>
          <w:iCs/>
          <w:sz w:val="28"/>
          <w:szCs w:val="28"/>
          <w:lang w:val="es-MX"/>
        </w:rPr>
        <w:t xml:space="preserve"> </w:t>
      </w:r>
      <w:r w:rsidR="00E559C3">
        <w:rPr>
          <w:rFonts w:ascii="Bookman Old Style" w:hAnsi="Bookman Old Style"/>
          <w:iCs/>
          <w:sz w:val="28"/>
          <w:szCs w:val="28"/>
          <w:lang w:val="es-MX"/>
        </w:rPr>
        <w:t>e</w:t>
      </w:r>
      <w:r w:rsidR="002401DA">
        <w:rPr>
          <w:rFonts w:ascii="Bookman Old Style" w:hAnsi="Bookman Old Style"/>
          <w:iCs/>
          <w:sz w:val="28"/>
          <w:szCs w:val="28"/>
          <w:lang w:val="es-MX"/>
        </w:rPr>
        <w:t xml:space="preserve">l 28 del mismo mes se </w:t>
      </w:r>
      <w:r w:rsidR="001F5D97" w:rsidRPr="007225E4">
        <w:rPr>
          <w:rFonts w:ascii="Bookman Old Style" w:hAnsi="Bookman Old Style"/>
          <w:iCs/>
          <w:sz w:val="28"/>
          <w:szCs w:val="28"/>
          <w:lang w:val="es-MX"/>
        </w:rPr>
        <w:t>dictó</w:t>
      </w:r>
      <w:r w:rsidR="002401DA" w:rsidRPr="007225E4">
        <w:rPr>
          <w:rFonts w:ascii="Bookman Old Style" w:hAnsi="Bookman Old Style"/>
          <w:iCs/>
          <w:sz w:val="28"/>
          <w:szCs w:val="28"/>
          <w:lang w:val="es-MX"/>
        </w:rPr>
        <w:t xml:space="preserve"> </w:t>
      </w:r>
      <w:r w:rsidR="001F5D97" w:rsidRPr="007225E4">
        <w:rPr>
          <w:rFonts w:ascii="Bookman Old Style" w:hAnsi="Bookman Old Style"/>
          <w:iCs/>
          <w:sz w:val="28"/>
          <w:szCs w:val="28"/>
          <w:lang w:val="es-MX"/>
        </w:rPr>
        <w:t>sentencia</w:t>
      </w:r>
      <w:r w:rsidR="002401DA" w:rsidRPr="007225E4">
        <w:rPr>
          <w:rFonts w:ascii="Bookman Old Style" w:hAnsi="Bookman Old Style"/>
          <w:iCs/>
          <w:sz w:val="28"/>
          <w:szCs w:val="28"/>
          <w:lang w:val="es-MX"/>
        </w:rPr>
        <w:t xml:space="preserve"> </w:t>
      </w:r>
      <w:r w:rsidR="002401DA">
        <w:rPr>
          <w:rFonts w:ascii="Bookman Old Style" w:hAnsi="Bookman Old Style"/>
          <w:iCs/>
          <w:sz w:val="28"/>
          <w:szCs w:val="28"/>
          <w:lang w:val="es-MX"/>
        </w:rPr>
        <w:t>de segundo grado</w:t>
      </w:r>
      <w:r w:rsidR="002401DA">
        <w:rPr>
          <w:rStyle w:val="Refdenotaalpie"/>
          <w:rFonts w:ascii="Bookman Old Style" w:hAnsi="Bookman Old Style"/>
          <w:iCs/>
          <w:sz w:val="28"/>
          <w:szCs w:val="28"/>
          <w:lang w:val="es-MX"/>
        </w:rPr>
        <w:footnoteReference w:id="21"/>
      </w:r>
      <w:r w:rsidR="00E559C3">
        <w:rPr>
          <w:rFonts w:ascii="Bookman Old Style" w:hAnsi="Bookman Old Style"/>
          <w:iCs/>
          <w:sz w:val="28"/>
          <w:szCs w:val="28"/>
          <w:lang w:val="es-MX"/>
        </w:rPr>
        <w:t xml:space="preserve"> por escrito</w:t>
      </w:r>
      <w:r w:rsidR="002401DA">
        <w:rPr>
          <w:rFonts w:ascii="Bookman Old Style" w:hAnsi="Bookman Old Style"/>
          <w:iCs/>
          <w:sz w:val="28"/>
          <w:szCs w:val="28"/>
          <w:lang w:val="es-MX"/>
        </w:rPr>
        <w:t>.</w:t>
      </w:r>
    </w:p>
    <w:p w14:paraId="0989D385" w14:textId="77777777" w:rsidR="00070745" w:rsidRPr="00F36F20" w:rsidRDefault="00070745" w:rsidP="00070745">
      <w:pPr>
        <w:spacing w:after="0" w:line="360" w:lineRule="auto"/>
        <w:ind w:firstLine="709"/>
        <w:jc w:val="both"/>
        <w:rPr>
          <w:rFonts w:ascii="Bookman Old Style" w:hAnsi="Bookman Old Style"/>
          <w:iCs/>
          <w:sz w:val="28"/>
          <w:szCs w:val="28"/>
        </w:rPr>
      </w:pPr>
    </w:p>
    <w:p w14:paraId="6712828B" w14:textId="29619917" w:rsidR="00F36F20" w:rsidRDefault="00F36F20" w:rsidP="00F92684">
      <w:pPr>
        <w:spacing w:after="0" w:line="360" w:lineRule="auto"/>
        <w:ind w:firstLine="709"/>
        <w:jc w:val="both"/>
        <w:rPr>
          <w:rFonts w:ascii="Bookman Old Style" w:hAnsi="Bookman Old Style"/>
          <w:iCs/>
          <w:sz w:val="28"/>
          <w:szCs w:val="28"/>
        </w:rPr>
      </w:pPr>
      <w:r w:rsidRPr="00F36F20">
        <w:rPr>
          <w:rFonts w:ascii="Bookman Old Style" w:hAnsi="Bookman Old Style"/>
          <w:iCs/>
          <w:sz w:val="28"/>
          <w:szCs w:val="28"/>
        </w:rPr>
        <w:t xml:space="preserve">3. Así las cosas, se advierte que la sentencia de </w:t>
      </w:r>
      <w:r w:rsidR="002401DA">
        <w:rPr>
          <w:rFonts w:ascii="Bookman Old Style" w:hAnsi="Bookman Old Style"/>
          <w:iCs/>
          <w:sz w:val="28"/>
          <w:szCs w:val="28"/>
        </w:rPr>
        <w:t>segunda instancia fue dictada dentro del término</w:t>
      </w:r>
      <w:r w:rsidR="00B31FF3">
        <w:rPr>
          <w:rFonts w:ascii="Bookman Old Style" w:hAnsi="Bookman Old Style"/>
          <w:iCs/>
          <w:sz w:val="28"/>
          <w:szCs w:val="28"/>
        </w:rPr>
        <w:t xml:space="preserve"> </w:t>
      </w:r>
      <w:r w:rsidR="00B31FF3" w:rsidRPr="007225E4">
        <w:rPr>
          <w:rFonts w:ascii="Bookman Old Style" w:hAnsi="Bookman Old Style"/>
          <w:iCs/>
          <w:sz w:val="28"/>
          <w:szCs w:val="28"/>
        </w:rPr>
        <w:t>previsto en el</w:t>
      </w:r>
      <w:r w:rsidR="002401DA" w:rsidRPr="007225E4">
        <w:rPr>
          <w:rFonts w:ascii="Bookman Old Style" w:hAnsi="Bookman Old Style"/>
          <w:iCs/>
          <w:sz w:val="28"/>
          <w:szCs w:val="28"/>
        </w:rPr>
        <w:t xml:space="preserve"> </w:t>
      </w:r>
      <w:r w:rsidR="0026595E" w:rsidRPr="007225E4">
        <w:rPr>
          <w:rFonts w:ascii="Bookman Old Style" w:hAnsi="Bookman Old Style"/>
          <w:iCs/>
          <w:sz w:val="28"/>
          <w:szCs w:val="28"/>
        </w:rPr>
        <w:t xml:space="preserve">citado </w:t>
      </w:r>
      <w:r w:rsidR="002401DA">
        <w:rPr>
          <w:rFonts w:ascii="Bookman Old Style" w:hAnsi="Bookman Old Style"/>
          <w:iCs/>
          <w:sz w:val="28"/>
          <w:szCs w:val="28"/>
        </w:rPr>
        <w:lastRenderedPageBreak/>
        <w:t>art</w:t>
      </w:r>
      <w:r w:rsidR="00620CA8">
        <w:rPr>
          <w:rFonts w:ascii="Bookman Old Style" w:hAnsi="Bookman Old Style"/>
          <w:iCs/>
          <w:sz w:val="28"/>
          <w:szCs w:val="28"/>
        </w:rPr>
        <w:t>í</w:t>
      </w:r>
      <w:r w:rsidR="002401DA">
        <w:rPr>
          <w:rFonts w:ascii="Bookman Old Style" w:hAnsi="Bookman Old Style"/>
          <w:iCs/>
          <w:sz w:val="28"/>
          <w:szCs w:val="28"/>
        </w:rPr>
        <w:t xml:space="preserve">culo 121. </w:t>
      </w:r>
      <w:r w:rsidR="006F1537">
        <w:rPr>
          <w:rFonts w:ascii="Bookman Old Style" w:hAnsi="Bookman Old Style"/>
          <w:iCs/>
          <w:sz w:val="28"/>
          <w:szCs w:val="28"/>
        </w:rPr>
        <w:t xml:space="preserve">En consecuencia, la irregularidad endilgada no aconteció. </w:t>
      </w:r>
    </w:p>
    <w:p w14:paraId="5A30D087" w14:textId="77777777" w:rsidR="00E559C3" w:rsidRPr="00F36F20" w:rsidRDefault="00E559C3" w:rsidP="00F92684">
      <w:pPr>
        <w:spacing w:after="0" w:line="360" w:lineRule="auto"/>
        <w:ind w:firstLine="709"/>
        <w:jc w:val="both"/>
        <w:rPr>
          <w:rFonts w:ascii="Bookman Old Style" w:hAnsi="Bookman Old Style"/>
          <w:iCs/>
          <w:sz w:val="28"/>
          <w:szCs w:val="28"/>
        </w:rPr>
      </w:pPr>
    </w:p>
    <w:p w14:paraId="5222A83A" w14:textId="07F64804" w:rsidR="006F1537" w:rsidRPr="00F36F20" w:rsidRDefault="00C6365B" w:rsidP="00F92684">
      <w:pPr>
        <w:spacing w:after="0" w:line="360" w:lineRule="auto"/>
        <w:ind w:firstLine="709"/>
        <w:jc w:val="both"/>
        <w:rPr>
          <w:rFonts w:ascii="Bookman Old Style" w:hAnsi="Bookman Old Style"/>
          <w:iCs/>
          <w:sz w:val="28"/>
          <w:szCs w:val="28"/>
        </w:rPr>
      </w:pPr>
      <w:r>
        <w:rPr>
          <w:rFonts w:ascii="Bookman Old Style" w:hAnsi="Bookman Old Style"/>
          <w:iCs/>
          <w:sz w:val="28"/>
          <w:szCs w:val="28"/>
        </w:rPr>
        <w:t>4.</w:t>
      </w:r>
      <w:r w:rsidR="00F36F20" w:rsidRPr="00F36F20">
        <w:rPr>
          <w:rFonts w:ascii="Bookman Old Style" w:hAnsi="Bookman Old Style"/>
          <w:iCs/>
          <w:sz w:val="28"/>
          <w:szCs w:val="28"/>
        </w:rPr>
        <w:t xml:space="preserve"> </w:t>
      </w:r>
      <w:r w:rsidR="00CE0162">
        <w:rPr>
          <w:rFonts w:ascii="Bookman Old Style" w:hAnsi="Bookman Old Style"/>
          <w:iCs/>
          <w:sz w:val="28"/>
          <w:szCs w:val="28"/>
        </w:rPr>
        <w:t>Aunado a que</w:t>
      </w:r>
      <w:r w:rsidR="00F36F20" w:rsidRPr="00F36F20">
        <w:rPr>
          <w:rFonts w:ascii="Bookman Old Style" w:hAnsi="Bookman Old Style"/>
          <w:iCs/>
          <w:sz w:val="28"/>
          <w:szCs w:val="28"/>
        </w:rPr>
        <w:t xml:space="preserve">, el ataque en </w:t>
      </w:r>
      <w:r w:rsidR="00A17175" w:rsidRPr="00A17175">
        <w:rPr>
          <w:rFonts w:ascii="Bookman Old Style" w:hAnsi="Bookman Old Style"/>
          <w:iCs/>
          <w:sz w:val="28"/>
          <w:szCs w:val="28"/>
        </w:rPr>
        <w:t>casación</w:t>
      </w:r>
      <w:r w:rsidR="00A17175" w:rsidRPr="00F36F20">
        <w:rPr>
          <w:rFonts w:ascii="Bookman Old Style" w:hAnsi="Bookman Old Style"/>
          <w:iCs/>
          <w:sz w:val="28"/>
          <w:szCs w:val="28"/>
        </w:rPr>
        <w:t xml:space="preserve"> </w:t>
      </w:r>
      <w:r w:rsidR="00F36F20" w:rsidRPr="00F36F20">
        <w:rPr>
          <w:rFonts w:ascii="Bookman Old Style" w:hAnsi="Bookman Old Style"/>
          <w:iCs/>
          <w:sz w:val="28"/>
          <w:szCs w:val="28"/>
        </w:rPr>
        <w:t>resulta fútil</w:t>
      </w:r>
      <w:r w:rsidR="00143800">
        <w:rPr>
          <w:rFonts w:ascii="Bookman Old Style" w:hAnsi="Bookman Old Style"/>
          <w:iCs/>
          <w:sz w:val="28"/>
          <w:szCs w:val="28"/>
        </w:rPr>
        <w:t xml:space="preserve">: </w:t>
      </w:r>
      <w:r w:rsidR="00F36F20" w:rsidRPr="00F36F20">
        <w:rPr>
          <w:rFonts w:ascii="Bookman Old Style" w:hAnsi="Bookman Old Style"/>
          <w:iCs/>
          <w:sz w:val="28"/>
          <w:szCs w:val="28"/>
        </w:rPr>
        <w:t xml:space="preserve">el acto procesal cumplió su finalidad. Y no se violó el derecho de defensa, aunado a que </w:t>
      </w:r>
      <w:r w:rsidR="006F1537" w:rsidRPr="00F36F20">
        <w:rPr>
          <w:rFonts w:ascii="Bookman Old Style" w:hAnsi="Bookman Old Style"/>
          <w:iCs/>
          <w:sz w:val="28"/>
          <w:szCs w:val="28"/>
        </w:rPr>
        <w:t>la nulidad temporal fue ventilada y discutida en las instancias. En efecto, dentro del juicio civil fue decidida desfavorablemente. De allí que se haya</w:t>
      </w:r>
      <w:r w:rsidR="006F1537" w:rsidRPr="00F36F20">
        <w:rPr>
          <w:rFonts w:ascii="Bookman Old Style" w:hAnsi="Bookman Old Style"/>
          <w:iCs/>
          <w:color w:val="FF0000"/>
          <w:sz w:val="28"/>
          <w:szCs w:val="28"/>
        </w:rPr>
        <w:t xml:space="preserve"> </w:t>
      </w:r>
      <w:r w:rsidR="006F1537" w:rsidRPr="00F36F20">
        <w:rPr>
          <w:rFonts w:ascii="Bookman Old Style" w:hAnsi="Bookman Old Style"/>
          <w:iCs/>
          <w:sz w:val="28"/>
          <w:szCs w:val="28"/>
        </w:rPr>
        <w:t>establecido la cosa juzgada</w:t>
      </w:r>
      <w:r w:rsidR="006F1537" w:rsidRPr="00F36F20">
        <w:rPr>
          <w:rStyle w:val="Refdenotaalpie"/>
          <w:rFonts w:ascii="Bookman Old Style" w:hAnsi="Bookman Old Style"/>
          <w:iCs/>
          <w:sz w:val="28"/>
          <w:szCs w:val="28"/>
        </w:rPr>
        <w:footnoteReference w:id="22"/>
      </w:r>
      <w:r w:rsidR="006F1537" w:rsidRPr="00F36F20">
        <w:rPr>
          <w:rFonts w:ascii="Bookman Old Style" w:hAnsi="Bookman Old Style"/>
          <w:iCs/>
          <w:sz w:val="28"/>
          <w:szCs w:val="28"/>
        </w:rPr>
        <w:t>. Esto es, se torn</w:t>
      </w:r>
      <w:r w:rsidR="007977AE">
        <w:rPr>
          <w:rFonts w:ascii="Bookman Old Style" w:hAnsi="Bookman Old Style"/>
          <w:iCs/>
          <w:sz w:val="28"/>
          <w:szCs w:val="28"/>
        </w:rPr>
        <w:t>ó</w:t>
      </w:r>
      <w:r w:rsidR="006F1537" w:rsidRPr="00F36F20">
        <w:rPr>
          <w:rFonts w:ascii="Bookman Old Style" w:hAnsi="Bookman Old Style"/>
          <w:iCs/>
          <w:sz w:val="28"/>
          <w:szCs w:val="28"/>
        </w:rPr>
        <w:t xml:space="preserve"> intangible su examen por la vía casacional</w:t>
      </w:r>
      <w:r w:rsidR="00241DD8">
        <w:rPr>
          <w:rStyle w:val="Refdenotaalpie"/>
          <w:rFonts w:ascii="Bookman Old Style" w:hAnsi="Bookman Old Style"/>
          <w:iCs/>
          <w:sz w:val="28"/>
          <w:szCs w:val="28"/>
        </w:rPr>
        <w:footnoteReference w:id="23"/>
      </w:r>
      <w:r w:rsidR="00241DD8">
        <w:rPr>
          <w:rFonts w:ascii="Bookman Old Style" w:hAnsi="Bookman Old Style"/>
          <w:iCs/>
          <w:sz w:val="28"/>
          <w:szCs w:val="28"/>
        </w:rPr>
        <w:t>.</w:t>
      </w:r>
      <w:r w:rsidR="006F1537" w:rsidRPr="00F36F20">
        <w:rPr>
          <w:rFonts w:ascii="Bookman Old Style" w:hAnsi="Bookman Old Style"/>
          <w:iCs/>
          <w:sz w:val="28"/>
          <w:szCs w:val="28"/>
        </w:rPr>
        <w:t xml:space="preserve"> </w:t>
      </w:r>
    </w:p>
    <w:p w14:paraId="1AFCE6B9" w14:textId="77777777" w:rsidR="00F36F20" w:rsidRPr="00F36F20" w:rsidRDefault="00F36F20" w:rsidP="00F92684">
      <w:pPr>
        <w:spacing w:after="0"/>
        <w:jc w:val="both"/>
        <w:rPr>
          <w:rFonts w:ascii="Bookman Old Style" w:hAnsi="Bookman Old Style"/>
          <w:iCs/>
          <w:sz w:val="28"/>
          <w:szCs w:val="28"/>
        </w:rPr>
      </w:pPr>
    </w:p>
    <w:p w14:paraId="253C8BBE" w14:textId="35AACACF" w:rsidR="00F36F20" w:rsidRPr="006F1537" w:rsidRDefault="00C6365B" w:rsidP="00F92684">
      <w:pPr>
        <w:spacing w:after="0"/>
        <w:ind w:firstLine="709"/>
        <w:jc w:val="both"/>
        <w:rPr>
          <w:rFonts w:ascii="Bookman Old Style" w:hAnsi="Bookman Old Style"/>
          <w:iCs/>
          <w:sz w:val="28"/>
          <w:szCs w:val="28"/>
        </w:rPr>
      </w:pPr>
      <w:r>
        <w:rPr>
          <w:rFonts w:ascii="Bookman Old Style" w:hAnsi="Bookman Old Style"/>
          <w:iCs/>
          <w:sz w:val="28"/>
          <w:szCs w:val="28"/>
        </w:rPr>
        <w:t>5</w:t>
      </w:r>
      <w:r w:rsidR="00F36F20" w:rsidRPr="00F36F20">
        <w:rPr>
          <w:rFonts w:ascii="Bookman Old Style" w:hAnsi="Bookman Old Style"/>
          <w:iCs/>
          <w:sz w:val="28"/>
          <w:szCs w:val="28"/>
        </w:rPr>
        <w:t xml:space="preserve">. En una palabra, el cargo </w:t>
      </w:r>
      <w:r w:rsidR="005664BA" w:rsidRPr="007225E4">
        <w:rPr>
          <w:rFonts w:ascii="Bookman Old Style" w:hAnsi="Bookman Old Style"/>
          <w:iCs/>
          <w:sz w:val="28"/>
          <w:szCs w:val="28"/>
        </w:rPr>
        <w:t xml:space="preserve">no prospera. </w:t>
      </w:r>
      <w:r w:rsidR="00F36F20" w:rsidRPr="007225E4">
        <w:rPr>
          <w:rFonts w:ascii="Bookman Old Style" w:hAnsi="Bookman Old Style"/>
          <w:iCs/>
          <w:sz w:val="28"/>
          <w:szCs w:val="28"/>
        </w:rPr>
        <w:t xml:space="preserve"> </w:t>
      </w:r>
    </w:p>
    <w:p w14:paraId="22904B38" w14:textId="77777777" w:rsidR="00823EDA" w:rsidRDefault="00823EDA" w:rsidP="00F92684">
      <w:pPr>
        <w:pStyle w:val="Sinespaciado"/>
        <w:spacing w:line="360" w:lineRule="auto"/>
        <w:rPr>
          <w:rFonts w:ascii="Bookman Old Style" w:hAnsi="Bookman Old Style" w:cs="Arial"/>
          <w:b/>
          <w:sz w:val="28"/>
          <w:szCs w:val="28"/>
        </w:rPr>
      </w:pPr>
    </w:p>
    <w:p w14:paraId="246D904C" w14:textId="34107AB5" w:rsidR="008E44E3" w:rsidRPr="00A17175" w:rsidRDefault="008E44E3" w:rsidP="004554F6">
      <w:pPr>
        <w:pStyle w:val="Sinespaciado"/>
        <w:spacing w:line="360" w:lineRule="auto"/>
        <w:jc w:val="center"/>
        <w:rPr>
          <w:rFonts w:ascii="Bookman Old Style" w:hAnsi="Bookman Old Style" w:cs="Arial"/>
          <w:b/>
          <w:sz w:val="28"/>
          <w:szCs w:val="28"/>
        </w:rPr>
      </w:pPr>
      <w:r w:rsidRPr="00A17175">
        <w:rPr>
          <w:rFonts w:ascii="Bookman Old Style" w:hAnsi="Bookman Old Style" w:cs="Arial"/>
          <w:b/>
          <w:sz w:val="28"/>
          <w:szCs w:val="28"/>
        </w:rPr>
        <w:t>CARGO TERCERO</w:t>
      </w:r>
    </w:p>
    <w:p w14:paraId="77403FAD" w14:textId="76D7CC73" w:rsidR="008E44E3" w:rsidRDefault="008E44E3" w:rsidP="00F92684">
      <w:pPr>
        <w:pStyle w:val="Sinespaciado"/>
        <w:spacing w:line="360" w:lineRule="auto"/>
        <w:ind w:firstLine="709"/>
        <w:jc w:val="center"/>
        <w:rPr>
          <w:rFonts w:ascii="Bookman Old Style" w:hAnsi="Bookman Old Style" w:cs="Arial"/>
          <w:b/>
          <w:sz w:val="28"/>
          <w:szCs w:val="28"/>
        </w:rPr>
      </w:pPr>
    </w:p>
    <w:p w14:paraId="74B730F6" w14:textId="12C75FC8" w:rsidR="008E44E3" w:rsidRDefault="008E44E3" w:rsidP="00F57E12">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El censor acusa la providencia de segundo grado de ser incongruente</w:t>
      </w:r>
      <w:r w:rsidR="00D54BF3">
        <w:rPr>
          <w:rFonts w:ascii="Bookman Old Style" w:hAnsi="Bookman Old Style" w:cs="Arial"/>
          <w:sz w:val="28"/>
          <w:szCs w:val="28"/>
        </w:rPr>
        <w:t xml:space="preserve">. </w:t>
      </w:r>
      <w:r w:rsidR="00573A6B">
        <w:rPr>
          <w:rFonts w:ascii="Bookman Old Style" w:hAnsi="Bookman Old Style" w:cs="Arial"/>
          <w:sz w:val="28"/>
          <w:szCs w:val="28"/>
        </w:rPr>
        <w:t xml:space="preserve">Fundó su crítica, en relación con </w:t>
      </w:r>
      <w:r>
        <w:rPr>
          <w:rFonts w:ascii="Bookman Old Style" w:hAnsi="Bookman Old Style" w:cs="Arial"/>
          <w:sz w:val="28"/>
          <w:szCs w:val="28"/>
        </w:rPr>
        <w:t>los reparos concretos y la sustentación de la apelación</w:t>
      </w:r>
      <w:r w:rsidR="00573A6B">
        <w:rPr>
          <w:rFonts w:ascii="Bookman Old Style" w:hAnsi="Bookman Old Style" w:cs="Arial"/>
          <w:sz w:val="28"/>
          <w:szCs w:val="28"/>
        </w:rPr>
        <w:t>.</w:t>
      </w:r>
      <w:r>
        <w:rPr>
          <w:rFonts w:ascii="Bookman Old Style" w:hAnsi="Bookman Old Style" w:cs="Arial"/>
          <w:sz w:val="28"/>
          <w:szCs w:val="28"/>
        </w:rPr>
        <w:t xml:space="preserve"> Evidenció que </w:t>
      </w:r>
      <w:r w:rsidRPr="007225E4">
        <w:rPr>
          <w:rFonts w:ascii="Bookman Old Style" w:hAnsi="Bookman Old Style" w:cs="Arial"/>
          <w:sz w:val="28"/>
          <w:szCs w:val="28"/>
        </w:rPr>
        <w:t>«</w:t>
      </w:r>
      <w:r w:rsidRPr="007225E4">
        <w:rPr>
          <w:rFonts w:ascii="Bookman Old Style" w:hAnsi="Bookman Old Style" w:cs="Arial"/>
          <w:i/>
          <w:iCs/>
          <w:sz w:val="24"/>
          <w:szCs w:val="24"/>
        </w:rPr>
        <w:t xml:space="preserve">a pesar de que la sentencia de primera instancia estimó que no hubo incumplimiento de la Compañía Aseguradora pues concluyó que las estipulaciones vertidas en las Condiciones de la Póliza le permitían dar por terminado el Contrato de Seguro en razón del no pago de la prima, la parte demandante solamente confutó en relación con el supuesto carácter abusivo de las estipulaciones a partir de las cuales se produjo la terminación del Contrato. Para el apelante entonces, sí existen en el Contrato las estipulaciones que prevén la terminación del contrato </w:t>
      </w:r>
      <w:r w:rsidRPr="007225E4">
        <w:rPr>
          <w:rFonts w:ascii="Bookman Old Style" w:hAnsi="Bookman Old Style" w:cs="Arial"/>
          <w:i/>
          <w:iCs/>
          <w:sz w:val="24"/>
          <w:szCs w:val="24"/>
        </w:rPr>
        <w:lastRenderedPageBreak/>
        <w:t>cuando los valores de cesión se agoten debido a la baja rentabilidad del fondo de ahorro, pero lo que ocurre es que, a su juicio, son estipulaciones que deben interpretarse en contra de la Aseguradora</w:t>
      </w:r>
      <w:r w:rsidRPr="007225E4">
        <w:rPr>
          <w:rFonts w:ascii="Bookman Old Style" w:hAnsi="Bookman Old Style" w:cs="Arial"/>
          <w:sz w:val="28"/>
          <w:szCs w:val="28"/>
        </w:rPr>
        <w:t>».</w:t>
      </w:r>
    </w:p>
    <w:p w14:paraId="14201477" w14:textId="77777777" w:rsidR="00241DD8" w:rsidRDefault="00241DD8" w:rsidP="00F57E12">
      <w:pPr>
        <w:pStyle w:val="Sinespaciado"/>
        <w:spacing w:line="360" w:lineRule="auto"/>
        <w:ind w:firstLine="709"/>
        <w:jc w:val="both"/>
        <w:rPr>
          <w:rFonts w:ascii="Bookman Old Style" w:hAnsi="Bookman Old Style" w:cs="Arial"/>
          <w:sz w:val="28"/>
          <w:szCs w:val="28"/>
        </w:rPr>
      </w:pPr>
    </w:p>
    <w:p w14:paraId="32DE4807" w14:textId="68436AE7" w:rsidR="008E44E3" w:rsidRPr="003C2196" w:rsidRDefault="008E44E3"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En tal sentido, los argumentos esbozados en la apelación no estuvieron orientados a controvertir la conclusión del </w:t>
      </w:r>
      <w:r>
        <w:rPr>
          <w:rFonts w:ascii="Bookman Old Style" w:hAnsi="Bookman Old Style" w:cs="Arial"/>
          <w:i/>
          <w:iCs/>
          <w:sz w:val="28"/>
          <w:szCs w:val="28"/>
        </w:rPr>
        <w:t>a quo</w:t>
      </w:r>
      <w:r>
        <w:rPr>
          <w:rFonts w:ascii="Bookman Old Style" w:hAnsi="Bookman Old Style" w:cs="Arial"/>
          <w:sz w:val="28"/>
          <w:szCs w:val="28"/>
        </w:rPr>
        <w:t xml:space="preserve"> en torno a la ausencia de incumplimiento por parte de la aseguradora. Al haberse delimitado así el recurso de alzada, </w:t>
      </w:r>
      <w:r w:rsidRPr="007225E4">
        <w:rPr>
          <w:rFonts w:ascii="Bookman Old Style" w:hAnsi="Bookman Old Style" w:cs="Arial"/>
          <w:sz w:val="28"/>
          <w:szCs w:val="28"/>
        </w:rPr>
        <w:t>«</w:t>
      </w:r>
      <w:r w:rsidRPr="007225E4">
        <w:rPr>
          <w:rFonts w:ascii="Bookman Old Style" w:hAnsi="Bookman Old Style" w:cs="Arial"/>
          <w:i/>
          <w:iCs/>
          <w:sz w:val="24"/>
          <w:szCs w:val="24"/>
        </w:rPr>
        <w:t>el Tribunal, conforme a lo previsto por los artículos 320 y 328 del Código General del Proceso, solamente podrá resolver la apelación sobre la base de dichos argumentos impugnaticios y no sobre otros, sin embargo, el ad quem fue más allá y en forma panorámica se pronunció sobre todo el litigio, es decir, resolvió nuevamente las pretensiones y excepciones de la demanda en contravención de lo estable</w:t>
      </w:r>
      <w:r w:rsidR="00916DFC" w:rsidRPr="007225E4">
        <w:rPr>
          <w:rFonts w:ascii="Bookman Old Style" w:hAnsi="Bookman Old Style" w:cs="Arial"/>
          <w:i/>
          <w:iCs/>
          <w:sz w:val="24"/>
          <w:szCs w:val="24"/>
        </w:rPr>
        <w:t>ci</w:t>
      </w:r>
      <w:r w:rsidRPr="007225E4">
        <w:rPr>
          <w:rFonts w:ascii="Bookman Old Style" w:hAnsi="Bookman Old Style" w:cs="Arial"/>
          <w:i/>
          <w:iCs/>
          <w:sz w:val="24"/>
          <w:szCs w:val="24"/>
        </w:rPr>
        <w:t>do en dichos preceptos procesales</w:t>
      </w:r>
      <w:r w:rsidRPr="007225E4">
        <w:rPr>
          <w:rFonts w:ascii="Bookman Old Style" w:hAnsi="Bookman Old Style" w:cs="Arial"/>
          <w:sz w:val="28"/>
          <w:szCs w:val="28"/>
        </w:rPr>
        <w:t>».</w:t>
      </w:r>
    </w:p>
    <w:p w14:paraId="147DF55C" w14:textId="77777777" w:rsidR="008E44E3" w:rsidRDefault="008E44E3" w:rsidP="00F92684">
      <w:pPr>
        <w:pStyle w:val="Sinespaciado"/>
        <w:spacing w:line="360" w:lineRule="auto"/>
        <w:rPr>
          <w:rFonts w:ascii="Bookman Old Style" w:hAnsi="Bookman Old Style" w:cs="Arial"/>
          <w:b/>
          <w:sz w:val="28"/>
          <w:szCs w:val="28"/>
        </w:rPr>
      </w:pPr>
    </w:p>
    <w:p w14:paraId="3F3A8278" w14:textId="77777777" w:rsidR="008E44E3" w:rsidRDefault="008E44E3" w:rsidP="0017009D">
      <w:pPr>
        <w:pStyle w:val="Sinespaciado"/>
        <w:spacing w:line="360" w:lineRule="auto"/>
        <w:jc w:val="center"/>
        <w:rPr>
          <w:rFonts w:ascii="Bookman Old Style" w:hAnsi="Bookman Old Style" w:cs="Arial"/>
          <w:b/>
          <w:sz w:val="28"/>
          <w:szCs w:val="28"/>
        </w:rPr>
      </w:pPr>
      <w:r>
        <w:rPr>
          <w:rFonts w:ascii="Bookman Old Style" w:hAnsi="Bookman Old Style" w:cs="Arial"/>
          <w:b/>
          <w:sz w:val="28"/>
          <w:szCs w:val="28"/>
        </w:rPr>
        <w:t>CONSIDERACIONES</w:t>
      </w:r>
    </w:p>
    <w:p w14:paraId="42AC0A56" w14:textId="77777777" w:rsidR="008E44E3" w:rsidRDefault="008E44E3" w:rsidP="00F92684">
      <w:pPr>
        <w:pStyle w:val="Sinespaciado"/>
        <w:spacing w:line="360" w:lineRule="auto"/>
        <w:jc w:val="both"/>
        <w:rPr>
          <w:rFonts w:ascii="Bookman Old Style" w:hAnsi="Bookman Old Style" w:cs="Arial"/>
          <w:sz w:val="28"/>
          <w:szCs w:val="28"/>
        </w:rPr>
      </w:pPr>
      <w:r>
        <w:rPr>
          <w:rFonts w:ascii="Bookman Old Style" w:hAnsi="Bookman Old Style" w:cs="Arial"/>
          <w:sz w:val="28"/>
          <w:szCs w:val="28"/>
        </w:rPr>
        <w:t xml:space="preserve"> </w:t>
      </w:r>
    </w:p>
    <w:p w14:paraId="504C32E4" w14:textId="3495405E" w:rsidR="00B4373B" w:rsidRDefault="008E44E3" w:rsidP="00905BBA">
      <w:pPr>
        <w:pStyle w:val="Sinespaciado"/>
        <w:spacing w:line="360" w:lineRule="auto"/>
        <w:ind w:firstLine="709"/>
        <w:jc w:val="both"/>
        <w:rPr>
          <w:rFonts w:ascii="Bookman Old Style" w:hAnsi="Bookman Old Style" w:cs="Arial"/>
          <w:bCs/>
          <w:sz w:val="28"/>
          <w:szCs w:val="28"/>
          <w:lang w:val="es-ES_tradnl"/>
        </w:rPr>
      </w:pPr>
      <w:r>
        <w:rPr>
          <w:rFonts w:ascii="Bookman Old Style" w:hAnsi="Bookman Old Style" w:cs="Arial"/>
          <w:sz w:val="28"/>
          <w:szCs w:val="28"/>
        </w:rPr>
        <w:t xml:space="preserve">1. </w:t>
      </w:r>
      <w:r w:rsidR="00984297" w:rsidRPr="00984297">
        <w:rPr>
          <w:rFonts w:ascii="Bookman Old Style" w:hAnsi="Bookman Old Style" w:cs="Arial"/>
          <w:sz w:val="28"/>
          <w:szCs w:val="28"/>
          <w:lang w:val="es-ES_tradnl"/>
        </w:rPr>
        <w:t xml:space="preserve">En virtud del inciso primero del artículo 281 del Código General del Proceso, los jueces circunscriben su ámbito decisional </w:t>
      </w:r>
      <w:r w:rsidR="00B4373B">
        <w:rPr>
          <w:rFonts w:ascii="Bookman Old Style" w:hAnsi="Bookman Old Style" w:cs="Arial"/>
          <w:sz w:val="28"/>
          <w:szCs w:val="28"/>
          <w:lang w:val="es-ES_tradnl"/>
        </w:rPr>
        <w:t>a</w:t>
      </w:r>
      <w:r w:rsidR="00984297" w:rsidRPr="00984297">
        <w:rPr>
          <w:rFonts w:ascii="Bookman Old Style" w:hAnsi="Bookman Old Style" w:cs="Arial"/>
          <w:sz w:val="28"/>
          <w:szCs w:val="28"/>
          <w:lang w:val="es-ES_tradnl"/>
        </w:rPr>
        <w:t xml:space="preserve"> los límites que las partes definen en la demanda y su contestación. En atención a ello, adolece de incongruencia la providencia que resuelva la controversia con apoyo en hechos distintos de aquellos que integran la plataforma fáctica del escrito introductor</w:t>
      </w:r>
      <w:r w:rsidR="00B4373B">
        <w:rPr>
          <w:rFonts w:ascii="Bookman Old Style" w:hAnsi="Bookman Old Style" w:cs="Arial"/>
          <w:sz w:val="28"/>
          <w:szCs w:val="28"/>
          <w:lang w:val="es-ES_tradnl"/>
        </w:rPr>
        <w:t xml:space="preserve"> o su reforma. </w:t>
      </w:r>
      <w:r w:rsidR="00B4373B" w:rsidRPr="00B4373B">
        <w:rPr>
          <w:rFonts w:ascii="Bookman Old Style" w:hAnsi="Bookman Old Style" w:cs="Arial"/>
          <w:bCs/>
          <w:sz w:val="28"/>
          <w:szCs w:val="28"/>
          <w:lang w:val="es-ES_tradnl"/>
        </w:rPr>
        <w:t xml:space="preserve">En tal virtud, la providencia decisoria no puede ir más allá ni fuera de las peticiones de la demanda, pues se incurriría en su orden en decisión </w:t>
      </w:r>
      <w:r w:rsidR="00B4373B" w:rsidRPr="007225E4">
        <w:rPr>
          <w:rFonts w:ascii="Bookman Old Style" w:hAnsi="Bookman Old Style" w:cs="Arial"/>
          <w:bCs/>
          <w:sz w:val="24"/>
          <w:szCs w:val="24"/>
          <w:lang w:val="es-ES_tradnl"/>
        </w:rPr>
        <w:t>«</w:t>
      </w:r>
      <w:r w:rsidR="00B4373B" w:rsidRPr="007225E4">
        <w:rPr>
          <w:rFonts w:ascii="Bookman Old Style" w:hAnsi="Bookman Old Style" w:cs="Arial"/>
          <w:bCs/>
          <w:i/>
          <w:iCs/>
          <w:sz w:val="24"/>
          <w:szCs w:val="24"/>
          <w:lang w:val="es-ES_tradnl"/>
        </w:rPr>
        <w:t>ultrapetita»</w:t>
      </w:r>
      <w:r w:rsidR="00B4373B" w:rsidRPr="007225E4">
        <w:rPr>
          <w:rFonts w:ascii="Bookman Old Style" w:hAnsi="Bookman Old Style" w:cs="Arial"/>
          <w:bCs/>
          <w:i/>
          <w:iCs/>
          <w:sz w:val="28"/>
          <w:szCs w:val="28"/>
          <w:lang w:val="es-ES_tradnl"/>
        </w:rPr>
        <w:t xml:space="preserve"> o </w:t>
      </w:r>
      <w:r w:rsidR="00B4373B" w:rsidRPr="007225E4">
        <w:rPr>
          <w:rFonts w:ascii="Bookman Old Style" w:hAnsi="Bookman Old Style" w:cs="Arial"/>
          <w:bCs/>
          <w:i/>
          <w:iCs/>
          <w:sz w:val="24"/>
          <w:szCs w:val="24"/>
          <w:lang w:val="es-ES_tradnl"/>
        </w:rPr>
        <w:t>«extrapetita»</w:t>
      </w:r>
      <w:r w:rsidR="00B4373B" w:rsidRPr="00B4373B">
        <w:rPr>
          <w:rFonts w:ascii="Bookman Old Style" w:hAnsi="Bookman Old Style" w:cs="Arial"/>
          <w:bCs/>
          <w:sz w:val="28"/>
          <w:szCs w:val="28"/>
          <w:lang w:val="es-ES_tradnl"/>
        </w:rPr>
        <w:t xml:space="preserve"> y debe configurarse sobre los hechos fundamentales de la misma. Adicionalmente, se debe proveer sobre todas las pretensiones </w:t>
      </w:r>
      <w:r w:rsidR="00B4373B" w:rsidRPr="00B4373B">
        <w:rPr>
          <w:rFonts w:ascii="Bookman Old Style" w:hAnsi="Bookman Old Style" w:cs="Arial"/>
          <w:bCs/>
          <w:sz w:val="28"/>
          <w:szCs w:val="28"/>
          <w:lang w:val="es-ES_tradnl"/>
        </w:rPr>
        <w:lastRenderedPageBreak/>
        <w:t xml:space="preserve">y excepciones propuestas, so pena de incurrir en </w:t>
      </w:r>
      <w:r w:rsidR="00B4373B" w:rsidRPr="007225E4">
        <w:rPr>
          <w:rFonts w:ascii="Bookman Old Style" w:hAnsi="Bookman Old Style" w:cs="Arial"/>
          <w:bCs/>
          <w:sz w:val="24"/>
          <w:szCs w:val="24"/>
          <w:lang w:val="es-ES_tradnl"/>
        </w:rPr>
        <w:t>«</w:t>
      </w:r>
      <w:r w:rsidR="00B4373B" w:rsidRPr="007225E4">
        <w:rPr>
          <w:rFonts w:ascii="Bookman Old Style" w:hAnsi="Bookman Old Style" w:cs="Arial"/>
          <w:bCs/>
          <w:i/>
          <w:iCs/>
          <w:sz w:val="24"/>
          <w:szCs w:val="24"/>
          <w:lang w:val="es-ES_tradnl"/>
        </w:rPr>
        <w:t>mínima petita o citra petita»</w:t>
      </w:r>
      <w:r w:rsidR="00B4373B" w:rsidRPr="007225E4">
        <w:rPr>
          <w:rStyle w:val="Refdenotaalpie"/>
          <w:rFonts w:ascii="Bookman Old Style" w:hAnsi="Bookman Old Style" w:cs="Arial"/>
          <w:bCs/>
          <w:sz w:val="28"/>
          <w:szCs w:val="28"/>
          <w:lang w:val="es-ES_tradnl"/>
        </w:rPr>
        <w:footnoteReference w:id="24"/>
      </w:r>
      <w:r w:rsidR="00B4373B" w:rsidRPr="007225E4">
        <w:rPr>
          <w:rFonts w:ascii="Bookman Old Style" w:hAnsi="Bookman Old Style" w:cs="Arial"/>
          <w:bCs/>
          <w:sz w:val="28"/>
          <w:szCs w:val="28"/>
          <w:lang w:val="es-ES_tradnl"/>
        </w:rPr>
        <w:t>.</w:t>
      </w:r>
    </w:p>
    <w:p w14:paraId="5CD3359B" w14:textId="77777777" w:rsidR="00CA57D8" w:rsidRPr="00905BBA" w:rsidRDefault="00CA57D8" w:rsidP="00905BBA">
      <w:pPr>
        <w:pStyle w:val="Sinespaciado"/>
        <w:spacing w:line="360" w:lineRule="auto"/>
        <w:ind w:firstLine="709"/>
        <w:jc w:val="both"/>
        <w:rPr>
          <w:rFonts w:ascii="Bookman Old Style" w:hAnsi="Bookman Old Style" w:cs="Arial"/>
          <w:bCs/>
          <w:sz w:val="28"/>
          <w:szCs w:val="28"/>
          <w:lang w:val="es-ES_tradnl"/>
        </w:rPr>
      </w:pPr>
    </w:p>
    <w:p w14:paraId="6F3AF020" w14:textId="0C203634" w:rsidR="00B4373B" w:rsidRPr="00B4373B" w:rsidRDefault="00B4373B" w:rsidP="00264569">
      <w:pPr>
        <w:pStyle w:val="Sinespaciado"/>
        <w:spacing w:line="360" w:lineRule="auto"/>
        <w:ind w:firstLine="709"/>
        <w:jc w:val="both"/>
        <w:rPr>
          <w:rFonts w:ascii="Bookman Old Style" w:hAnsi="Bookman Old Style" w:cs="Arial"/>
          <w:bCs/>
          <w:sz w:val="28"/>
          <w:szCs w:val="28"/>
          <w:lang w:val="es-ES_tradnl"/>
        </w:rPr>
      </w:pPr>
      <w:r>
        <w:rPr>
          <w:rFonts w:ascii="Bookman Old Style" w:hAnsi="Bookman Old Style" w:cs="Arial"/>
          <w:bCs/>
          <w:sz w:val="28"/>
          <w:szCs w:val="28"/>
          <w:lang w:val="es-ES_tradnl"/>
        </w:rPr>
        <w:t xml:space="preserve">Para lo que interesa al caso </w:t>
      </w:r>
      <w:r w:rsidR="00F92684">
        <w:rPr>
          <w:rFonts w:ascii="Bookman Old Style" w:hAnsi="Bookman Old Style" w:cs="Arial"/>
          <w:bCs/>
          <w:i/>
          <w:iCs/>
          <w:sz w:val="28"/>
          <w:szCs w:val="28"/>
          <w:lang w:val="es-ES_tradnl"/>
        </w:rPr>
        <w:t>sub examine</w:t>
      </w:r>
      <w:r>
        <w:rPr>
          <w:rFonts w:ascii="Bookman Old Style" w:hAnsi="Bookman Old Style" w:cs="Arial"/>
          <w:bCs/>
          <w:sz w:val="28"/>
          <w:szCs w:val="28"/>
          <w:lang w:val="es-ES_tradnl"/>
        </w:rPr>
        <w:t xml:space="preserve"> </w:t>
      </w:r>
      <w:r w:rsidR="007977AE">
        <w:rPr>
          <w:rFonts w:ascii="Bookman Old Style" w:hAnsi="Bookman Old Style" w:cs="Arial"/>
          <w:bCs/>
          <w:sz w:val="28"/>
          <w:szCs w:val="28"/>
          <w:lang w:val="es-ES_tradnl"/>
        </w:rPr>
        <w:t>se recuerda</w:t>
      </w:r>
      <w:r w:rsidRPr="00B4373B">
        <w:rPr>
          <w:rFonts w:ascii="Bookman Old Style" w:hAnsi="Bookman Old Style" w:cs="Arial"/>
          <w:bCs/>
          <w:sz w:val="28"/>
          <w:szCs w:val="28"/>
          <w:lang w:val="es-ES_tradnl"/>
        </w:rPr>
        <w:t xml:space="preserve"> que tales límites en la actividad del juez no se ciñen exclusivamente a lo que ocurra en la primera instancia. Véase que el artículo 328 del ordenamiento adjetivo prevé que </w:t>
      </w:r>
      <w:r w:rsidRPr="007225E4">
        <w:rPr>
          <w:rFonts w:ascii="Bookman Old Style" w:hAnsi="Bookman Old Style" w:cs="Arial"/>
          <w:bCs/>
          <w:i/>
          <w:iCs/>
          <w:sz w:val="24"/>
          <w:szCs w:val="24"/>
          <w:lang w:val="es-ES_tradnl"/>
        </w:rPr>
        <w:t xml:space="preserve">«[e]l juez de segunda instancia deberá pronunciarse </w:t>
      </w:r>
      <w:r w:rsidRPr="007225E4">
        <w:rPr>
          <w:rFonts w:ascii="Bookman Old Style" w:hAnsi="Bookman Old Style" w:cs="Arial"/>
          <w:b/>
          <w:bCs/>
          <w:i/>
          <w:iCs/>
          <w:sz w:val="24"/>
          <w:szCs w:val="24"/>
          <w:u w:val="single"/>
          <w:lang w:val="es-ES_tradnl"/>
        </w:rPr>
        <w:t>solamente</w:t>
      </w:r>
      <w:r w:rsidRPr="007225E4">
        <w:rPr>
          <w:rFonts w:ascii="Bookman Old Style" w:hAnsi="Bookman Old Style" w:cs="Arial"/>
          <w:bCs/>
          <w:i/>
          <w:iCs/>
          <w:sz w:val="24"/>
          <w:szCs w:val="24"/>
          <w:u w:val="single"/>
          <w:lang w:val="es-ES_tradnl"/>
        </w:rPr>
        <w:t xml:space="preserve"> </w:t>
      </w:r>
      <w:r w:rsidRPr="007225E4">
        <w:rPr>
          <w:rFonts w:ascii="Bookman Old Style" w:hAnsi="Bookman Old Style" w:cs="Arial"/>
          <w:b/>
          <w:bCs/>
          <w:i/>
          <w:iCs/>
          <w:sz w:val="24"/>
          <w:szCs w:val="24"/>
          <w:u w:val="single"/>
          <w:lang w:val="es-ES_tradnl"/>
        </w:rPr>
        <w:t>sobre los argumentos expuestos por el apelante</w:t>
      </w:r>
      <w:r w:rsidRPr="007225E4">
        <w:rPr>
          <w:rFonts w:ascii="Bookman Old Style" w:hAnsi="Bookman Old Style" w:cs="Arial"/>
          <w:bCs/>
          <w:i/>
          <w:iCs/>
          <w:sz w:val="24"/>
          <w:szCs w:val="24"/>
          <w:lang w:val="es-ES_tradnl"/>
        </w:rPr>
        <w:t>, sin perjuicio de las decisiones que deba adoptar de oficio, en los casos previstos por la ley</w:t>
      </w:r>
      <w:r w:rsidRPr="007225E4">
        <w:rPr>
          <w:rFonts w:ascii="Bookman Old Style" w:hAnsi="Bookman Old Style" w:cs="Arial"/>
          <w:bCs/>
          <w:i/>
          <w:iCs/>
          <w:sz w:val="28"/>
          <w:szCs w:val="28"/>
          <w:lang w:val="es-ES_tradnl"/>
        </w:rPr>
        <w:t>»</w:t>
      </w:r>
      <w:r w:rsidRPr="00B4373B">
        <w:rPr>
          <w:rFonts w:ascii="Bookman Old Style" w:hAnsi="Bookman Old Style" w:cs="Arial"/>
          <w:bCs/>
          <w:i/>
          <w:iCs/>
          <w:sz w:val="28"/>
          <w:szCs w:val="28"/>
          <w:lang w:val="es-ES_tradnl"/>
        </w:rPr>
        <w:t xml:space="preserve"> </w:t>
      </w:r>
      <w:r w:rsidRPr="00B4373B">
        <w:rPr>
          <w:rFonts w:ascii="Bookman Old Style" w:hAnsi="Bookman Old Style" w:cs="Arial"/>
          <w:bCs/>
          <w:sz w:val="28"/>
          <w:szCs w:val="28"/>
          <w:lang w:val="es-ES_tradnl"/>
        </w:rPr>
        <w:t>(énfasis de la Sala)</w:t>
      </w:r>
      <w:r>
        <w:rPr>
          <w:rFonts w:ascii="Bookman Old Style" w:hAnsi="Bookman Old Style" w:cs="Arial"/>
          <w:bCs/>
          <w:sz w:val="28"/>
          <w:szCs w:val="28"/>
          <w:lang w:val="es-ES_tradnl"/>
        </w:rPr>
        <w:t>.</w:t>
      </w:r>
      <w:r w:rsidRPr="00B4373B">
        <w:rPr>
          <w:rFonts w:ascii="Bookman Old Style" w:hAnsi="Bookman Old Style" w:cs="Arial"/>
          <w:bCs/>
          <w:sz w:val="28"/>
          <w:szCs w:val="28"/>
          <w:lang w:val="es-ES_tradnl"/>
        </w:rPr>
        <w:t xml:space="preserve"> </w:t>
      </w:r>
      <w:r>
        <w:rPr>
          <w:rFonts w:ascii="Bookman Old Style" w:hAnsi="Bookman Old Style" w:cs="Arial"/>
          <w:bCs/>
          <w:sz w:val="28"/>
          <w:szCs w:val="28"/>
          <w:lang w:val="es-ES_tradnl"/>
        </w:rPr>
        <w:t>Ello</w:t>
      </w:r>
      <w:r w:rsidRPr="00B4373B">
        <w:rPr>
          <w:rFonts w:ascii="Bookman Old Style" w:hAnsi="Bookman Old Style" w:cs="Arial"/>
          <w:bCs/>
          <w:sz w:val="28"/>
          <w:szCs w:val="28"/>
          <w:lang w:val="es-ES_tradnl"/>
        </w:rPr>
        <w:t xml:space="preserve"> implica, por supuesto, que la autoridad judicial debe atenerse a lo que es objeto de reparo en la pretensión impugnaticia, salvo los casos en que deba fallar de oficio por previsión expresa de la ley.</w:t>
      </w:r>
      <w:r w:rsidR="00264569">
        <w:rPr>
          <w:rFonts w:ascii="Bookman Old Style" w:hAnsi="Bookman Old Style" w:cs="Arial"/>
          <w:bCs/>
          <w:sz w:val="28"/>
          <w:szCs w:val="28"/>
          <w:lang w:val="es-ES_tradnl"/>
        </w:rPr>
        <w:t xml:space="preserve"> </w:t>
      </w:r>
      <w:r w:rsidRPr="00B4373B">
        <w:rPr>
          <w:rFonts w:ascii="Bookman Old Style" w:hAnsi="Bookman Old Style" w:cs="Arial"/>
          <w:bCs/>
          <w:sz w:val="28"/>
          <w:szCs w:val="28"/>
          <w:lang w:val="es-ES_tradnl"/>
        </w:rPr>
        <w:t xml:space="preserve">Sobre este tema, la Sala razonó que </w:t>
      </w:r>
      <w:r w:rsidRPr="007225E4">
        <w:rPr>
          <w:rFonts w:ascii="Bookman Old Style" w:hAnsi="Bookman Old Style" w:cs="Arial"/>
          <w:i/>
          <w:sz w:val="24"/>
          <w:szCs w:val="24"/>
          <w:lang w:val="es-ES_tradnl"/>
        </w:rPr>
        <w:t>«la incongruencia no se presenta solo cuando existe una disonancia entre lo invocado en las pretensiones de la demanda y lo fallado, sino que también se patentiza cuando la sentencia no armoniza con lo pedido en la sustentación del recurso (pretensión impugnaticia), que indudablemente corresponde a una invocación del derecho sustancial controvertido</w:t>
      </w:r>
      <w:r w:rsidRPr="007225E4">
        <w:rPr>
          <w:rFonts w:ascii="Bookman Old Style" w:hAnsi="Bookman Old Style" w:cs="Arial"/>
          <w:i/>
          <w:sz w:val="28"/>
          <w:szCs w:val="28"/>
          <w:lang w:val="es-ES_tradnl"/>
        </w:rPr>
        <w:t>»</w:t>
      </w:r>
      <w:r w:rsidRPr="00B4373B">
        <w:rPr>
          <w:rFonts w:ascii="Bookman Old Style" w:hAnsi="Bookman Old Style" w:cs="Arial"/>
          <w:iCs/>
          <w:sz w:val="28"/>
          <w:szCs w:val="28"/>
          <w:lang w:val="es-ES_tradnl"/>
        </w:rPr>
        <w:t xml:space="preserve"> </w:t>
      </w:r>
      <w:r w:rsidRPr="00B4373B">
        <w:rPr>
          <w:rFonts w:ascii="Bookman Old Style" w:hAnsi="Bookman Old Style" w:cs="Arial"/>
          <w:sz w:val="28"/>
          <w:szCs w:val="28"/>
          <w:lang w:val="es-ES_tradnl"/>
        </w:rPr>
        <w:t>(CSJ SC4415 de 2016, rad. 2012-02126, citada en SC3918-2021 del 08 de sept.)</w:t>
      </w:r>
      <w:r w:rsidRPr="00B4373B">
        <w:rPr>
          <w:rFonts w:ascii="Bookman Old Style" w:hAnsi="Bookman Old Style" w:cs="Arial"/>
          <w:i/>
          <w:sz w:val="28"/>
          <w:szCs w:val="28"/>
          <w:lang w:val="es-ES_tradnl"/>
        </w:rPr>
        <w:t>.</w:t>
      </w:r>
    </w:p>
    <w:p w14:paraId="51AF8A06" w14:textId="77777777" w:rsidR="00B4373B" w:rsidRPr="00B4373B" w:rsidRDefault="00B4373B" w:rsidP="00F92684">
      <w:pPr>
        <w:pStyle w:val="Sinespaciado"/>
        <w:spacing w:line="360" w:lineRule="auto"/>
        <w:ind w:firstLine="709"/>
        <w:jc w:val="both"/>
        <w:rPr>
          <w:rFonts w:ascii="Bookman Old Style" w:hAnsi="Bookman Old Style" w:cs="Arial"/>
          <w:sz w:val="28"/>
          <w:szCs w:val="28"/>
          <w:lang w:val="es-ES_tradnl"/>
        </w:rPr>
      </w:pPr>
    </w:p>
    <w:p w14:paraId="3C3F6B29" w14:textId="2C2B5DBA" w:rsidR="00F92684" w:rsidRDefault="00F92684" w:rsidP="00F92684">
      <w:pPr>
        <w:tabs>
          <w:tab w:val="left" w:pos="1418"/>
        </w:tabs>
        <w:spacing w:after="0" w:line="360" w:lineRule="auto"/>
        <w:ind w:firstLine="709"/>
        <w:jc w:val="both"/>
        <w:rPr>
          <w:rFonts w:ascii="Bookman Old Style" w:hAnsi="Bookman Old Style"/>
          <w:bCs/>
          <w:sz w:val="28"/>
          <w:szCs w:val="28"/>
          <w:lang w:eastAsia="es-MX"/>
        </w:rPr>
      </w:pPr>
      <w:r w:rsidRPr="00F92684">
        <w:rPr>
          <w:rFonts w:ascii="Bookman Old Style" w:hAnsi="Bookman Old Style"/>
          <w:bCs/>
          <w:sz w:val="28"/>
          <w:szCs w:val="28"/>
          <w:lang w:eastAsia="es-MX"/>
        </w:rPr>
        <w:t xml:space="preserve">En efecto, en torno a la apelación, la doctrina jurisprudencial ha considerado que existe incongruencia cuando no se advierte armonía entre los </w:t>
      </w:r>
      <w:r w:rsidRPr="00F92684">
        <w:rPr>
          <w:rFonts w:ascii="Bookman Old Style" w:hAnsi="Bookman Old Style"/>
          <w:bCs/>
          <w:sz w:val="28"/>
          <w:szCs w:val="28"/>
          <w:u w:val="single"/>
          <w:lang w:eastAsia="es-MX"/>
        </w:rPr>
        <w:t>argumentos propuestos al apelar</w:t>
      </w:r>
      <w:r w:rsidRPr="00F92684">
        <w:rPr>
          <w:rFonts w:ascii="Bookman Old Style" w:hAnsi="Bookman Old Style"/>
          <w:bCs/>
          <w:sz w:val="28"/>
          <w:szCs w:val="28"/>
          <w:lang w:eastAsia="es-MX"/>
        </w:rPr>
        <w:t xml:space="preserve"> y la sentencia del </w:t>
      </w:r>
      <w:r w:rsidRPr="00A17175">
        <w:rPr>
          <w:rFonts w:ascii="Bookman Old Style" w:hAnsi="Bookman Old Style"/>
          <w:bCs/>
          <w:i/>
          <w:iCs/>
          <w:sz w:val="28"/>
          <w:szCs w:val="28"/>
          <w:lang w:eastAsia="es-MX"/>
        </w:rPr>
        <w:t>ad quem</w:t>
      </w:r>
      <w:r w:rsidRPr="00A17175">
        <w:rPr>
          <w:rFonts w:ascii="Bookman Old Style" w:hAnsi="Bookman Old Style"/>
          <w:bCs/>
          <w:sz w:val="28"/>
          <w:szCs w:val="28"/>
          <w:lang w:eastAsia="es-MX"/>
        </w:rPr>
        <w:t xml:space="preserve">. </w:t>
      </w:r>
      <w:r w:rsidRPr="00F92684">
        <w:rPr>
          <w:rFonts w:ascii="Bookman Old Style" w:hAnsi="Bookman Old Style"/>
          <w:bCs/>
          <w:sz w:val="28"/>
          <w:szCs w:val="28"/>
          <w:lang w:eastAsia="es-MX"/>
        </w:rPr>
        <w:t>Sobre el tema:</w:t>
      </w:r>
    </w:p>
    <w:p w14:paraId="16B77779" w14:textId="77777777" w:rsidR="00342882" w:rsidRPr="00F92684" w:rsidRDefault="00342882" w:rsidP="00F92684">
      <w:pPr>
        <w:tabs>
          <w:tab w:val="left" w:pos="1418"/>
        </w:tabs>
        <w:spacing w:after="0" w:line="360" w:lineRule="auto"/>
        <w:ind w:firstLine="709"/>
        <w:jc w:val="both"/>
        <w:rPr>
          <w:rFonts w:ascii="Bookman Old Style" w:hAnsi="Bookman Old Style"/>
          <w:bCs/>
          <w:sz w:val="28"/>
          <w:szCs w:val="28"/>
          <w:lang w:eastAsia="es-MX"/>
        </w:rPr>
      </w:pPr>
    </w:p>
    <w:p w14:paraId="67FEC72E" w14:textId="687828C0" w:rsidR="00F92684" w:rsidRPr="00F92684" w:rsidRDefault="00F92684" w:rsidP="00F92684">
      <w:pPr>
        <w:tabs>
          <w:tab w:val="left" w:pos="1418"/>
        </w:tabs>
        <w:spacing w:after="0"/>
        <w:ind w:left="709"/>
        <w:jc w:val="both"/>
        <w:rPr>
          <w:rFonts w:ascii="Bookman Old Style" w:hAnsi="Bookman Old Style"/>
          <w:bCs/>
          <w:sz w:val="24"/>
          <w:szCs w:val="24"/>
          <w:lang w:eastAsia="es-MX"/>
        </w:rPr>
      </w:pPr>
      <w:r w:rsidRPr="00F92684">
        <w:rPr>
          <w:rFonts w:ascii="Bookman Old Style" w:hAnsi="Bookman Old Style"/>
          <w:bCs/>
          <w:sz w:val="24"/>
          <w:szCs w:val="24"/>
          <w:lang w:eastAsia="es-MX"/>
        </w:rPr>
        <w:t>«</w:t>
      </w:r>
      <w:r w:rsidRPr="00F92684">
        <w:rPr>
          <w:rFonts w:ascii="Bookman Old Style" w:hAnsi="Bookman Old Style"/>
          <w:bCs/>
          <w:i/>
          <w:sz w:val="24"/>
          <w:szCs w:val="24"/>
          <w:lang w:val="es-ES" w:eastAsia="es-MX"/>
        </w:rPr>
        <w:t>[P]</w:t>
      </w:r>
      <w:proofErr w:type="spellStart"/>
      <w:r w:rsidRPr="00F92684">
        <w:rPr>
          <w:rFonts w:ascii="Bookman Old Style" w:hAnsi="Bookman Old Style"/>
          <w:bCs/>
          <w:i/>
          <w:sz w:val="24"/>
          <w:szCs w:val="24"/>
          <w:lang w:val="es-ES" w:eastAsia="es-MX"/>
        </w:rPr>
        <w:t>ronunciarse</w:t>
      </w:r>
      <w:proofErr w:type="spellEnd"/>
      <w:r w:rsidRPr="00F92684">
        <w:rPr>
          <w:rFonts w:ascii="Bookman Old Style" w:hAnsi="Bookman Old Style"/>
          <w:bCs/>
          <w:i/>
          <w:sz w:val="24"/>
          <w:szCs w:val="24"/>
          <w:lang w:val="es-ES" w:eastAsia="es-MX"/>
        </w:rPr>
        <w:t xml:space="preserve"> sobre puntos o extremos del litigio que no fueron materia de la apelación -ni están íntimamente conectados con ella-… [es] un asunto que atañe al derecho sustancial que tiene el recurrente para que la resolución de su impugnación no toque puntos que no quiso llevar al debate de la segunda instancia… [por tanto], si el fundamento de la acusación obedece a una desviación del tema que fue objeto de la pretensión deducida en la sustentación del recurso, el ataque deberá dirigirse por la senda de la causal segunda de casación, por vicio de incongruencia entre lo pedido por el impugnante y lo resuelto por el ad quem</w:t>
      </w:r>
      <w:r w:rsidR="00905BBA" w:rsidRPr="00F92684">
        <w:rPr>
          <w:rFonts w:ascii="Bookman Old Style" w:hAnsi="Bookman Old Style"/>
          <w:bCs/>
          <w:sz w:val="24"/>
          <w:szCs w:val="24"/>
          <w:lang w:val="es-ES" w:eastAsia="es-MX"/>
        </w:rPr>
        <w:t>»</w:t>
      </w:r>
      <w:r w:rsidRPr="00F92684">
        <w:rPr>
          <w:rFonts w:ascii="Bookman Old Style" w:hAnsi="Bookman Old Style"/>
          <w:bCs/>
          <w:i/>
          <w:sz w:val="24"/>
          <w:szCs w:val="24"/>
          <w:lang w:val="es-ES" w:eastAsia="es-MX"/>
        </w:rPr>
        <w:t xml:space="preserve"> </w:t>
      </w:r>
      <w:r w:rsidRPr="00C013AE">
        <w:rPr>
          <w:rFonts w:ascii="Bookman Old Style" w:hAnsi="Bookman Old Style"/>
          <w:bCs/>
          <w:sz w:val="28"/>
          <w:szCs w:val="28"/>
          <w:lang w:val="es-ES" w:eastAsia="es-MX"/>
        </w:rPr>
        <w:t>(SC14427, 10 oct. 2016, rad. n.° 2013-02839-00).</w:t>
      </w:r>
      <w:r w:rsidRPr="00F92684">
        <w:rPr>
          <w:rFonts w:ascii="Bookman Old Style" w:hAnsi="Bookman Old Style"/>
          <w:bCs/>
          <w:sz w:val="24"/>
          <w:szCs w:val="24"/>
          <w:lang w:eastAsia="es-MX"/>
        </w:rPr>
        <w:t xml:space="preserve"> </w:t>
      </w:r>
    </w:p>
    <w:p w14:paraId="20B0A137" w14:textId="05B22B51" w:rsidR="00F92684" w:rsidRDefault="00F92684" w:rsidP="007D6432">
      <w:pPr>
        <w:tabs>
          <w:tab w:val="left" w:pos="1418"/>
        </w:tabs>
        <w:spacing w:after="0"/>
        <w:jc w:val="both"/>
        <w:rPr>
          <w:rFonts w:ascii="Bookman Old Style" w:hAnsi="Bookman Old Style"/>
          <w:bCs/>
          <w:sz w:val="24"/>
          <w:szCs w:val="24"/>
          <w:lang w:eastAsia="es-MX"/>
        </w:rPr>
      </w:pPr>
    </w:p>
    <w:p w14:paraId="1F34639F" w14:textId="77777777" w:rsidR="00573A6B" w:rsidRPr="00F92684" w:rsidRDefault="00573A6B" w:rsidP="007D6432">
      <w:pPr>
        <w:tabs>
          <w:tab w:val="left" w:pos="1418"/>
        </w:tabs>
        <w:spacing w:after="0"/>
        <w:jc w:val="both"/>
        <w:rPr>
          <w:rFonts w:ascii="Bookman Old Style" w:hAnsi="Bookman Old Style"/>
          <w:bCs/>
          <w:sz w:val="24"/>
          <w:szCs w:val="24"/>
          <w:lang w:eastAsia="es-MX"/>
        </w:rPr>
      </w:pPr>
    </w:p>
    <w:p w14:paraId="29E8D11C" w14:textId="09ED39BB" w:rsidR="00175C51" w:rsidRDefault="0010386B" w:rsidP="00070745">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2. </w:t>
      </w:r>
      <w:r w:rsidR="00070745">
        <w:rPr>
          <w:rFonts w:ascii="Bookman Old Style" w:hAnsi="Bookman Old Style" w:cs="Arial"/>
          <w:sz w:val="28"/>
          <w:szCs w:val="28"/>
        </w:rPr>
        <w:t>E</w:t>
      </w:r>
      <w:r>
        <w:rPr>
          <w:rFonts w:ascii="Bookman Old Style" w:hAnsi="Bookman Old Style" w:cs="Arial"/>
          <w:sz w:val="28"/>
          <w:szCs w:val="28"/>
        </w:rPr>
        <w:t>n el caso en concreto se advierte que el Juzgado Cuarto Civil del Circuito de Bogotá profirió sentencia el 19 de octubre del 2016</w:t>
      </w:r>
      <w:r w:rsidR="00015CDA" w:rsidRPr="000F6BBD">
        <w:rPr>
          <w:rFonts w:ascii="Bookman Old Style" w:hAnsi="Bookman Old Style" w:cs="Arial"/>
          <w:sz w:val="28"/>
          <w:szCs w:val="28"/>
        </w:rPr>
        <w:t>,</w:t>
      </w:r>
      <w:r>
        <w:rPr>
          <w:rFonts w:ascii="Bookman Old Style" w:hAnsi="Bookman Old Style" w:cs="Arial"/>
          <w:sz w:val="28"/>
          <w:szCs w:val="28"/>
        </w:rPr>
        <w:t xml:space="preserve"> que declaró probadas las excepciones de mérito. Por ende, desestimó las pretensiones expuestas en la demanda. Frente a tal determinación, la parte demandante interpuso recurso de apelación en audiencia, momento en el cual planteó los siguientes reparos concretos</w:t>
      </w:r>
      <w:r w:rsidR="002F4F61">
        <w:rPr>
          <w:rStyle w:val="Refdenotaalpie"/>
          <w:rFonts w:ascii="Bookman Old Style" w:hAnsi="Bookman Old Style" w:cs="Arial"/>
          <w:sz w:val="28"/>
          <w:szCs w:val="28"/>
        </w:rPr>
        <w:footnoteReference w:id="25"/>
      </w:r>
      <w:r>
        <w:rPr>
          <w:rFonts w:ascii="Bookman Old Style" w:hAnsi="Bookman Old Style" w:cs="Arial"/>
          <w:sz w:val="28"/>
          <w:szCs w:val="28"/>
        </w:rPr>
        <w:t xml:space="preserve">: </w:t>
      </w:r>
    </w:p>
    <w:p w14:paraId="2D0F2894" w14:textId="77777777" w:rsidR="00175C51" w:rsidRDefault="00175C51" w:rsidP="00F92684">
      <w:pPr>
        <w:pStyle w:val="Sinespaciado"/>
        <w:spacing w:line="360" w:lineRule="auto"/>
        <w:ind w:firstLine="709"/>
        <w:jc w:val="both"/>
        <w:rPr>
          <w:rFonts w:ascii="Bookman Old Style" w:hAnsi="Bookman Old Style" w:cs="Arial"/>
          <w:sz w:val="28"/>
          <w:szCs w:val="28"/>
        </w:rPr>
      </w:pPr>
    </w:p>
    <w:p w14:paraId="04C2B84C" w14:textId="03D7C236" w:rsidR="0010386B" w:rsidRPr="00175C51" w:rsidRDefault="002F4F61" w:rsidP="00917974">
      <w:pPr>
        <w:pStyle w:val="Sinespaciado"/>
        <w:tabs>
          <w:tab w:val="left" w:pos="142"/>
        </w:tabs>
        <w:spacing w:line="276" w:lineRule="auto"/>
        <w:ind w:left="709"/>
        <w:jc w:val="both"/>
        <w:rPr>
          <w:rFonts w:ascii="Bookman Old Style" w:hAnsi="Bookman Old Style" w:cs="Arial"/>
          <w:i/>
          <w:iCs/>
          <w:sz w:val="24"/>
          <w:szCs w:val="24"/>
        </w:rPr>
      </w:pPr>
      <w:r w:rsidRPr="00175C51">
        <w:rPr>
          <w:rFonts w:ascii="Bookman Old Style" w:hAnsi="Bookman Old Style" w:cs="Arial"/>
          <w:sz w:val="24"/>
          <w:szCs w:val="24"/>
        </w:rPr>
        <w:t>«</w:t>
      </w:r>
      <w:r w:rsidRPr="00175C51">
        <w:rPr>
          <w:rFonts w:ascii="Bookman Old Style" w:hAnsi="Bookman Old Style" w:cs="Arial"/>
          <w:i/>
          <w:iCs/>
          <w:sz w:val="24"/>
          <w:szCs w:val="24"/>
        </w:rPr>
        <w:t xml:space="preserve">si bien el artículo 1602 establece que el acuerdo de voluntades obliga a las partes, también es cierto que, tal como </w:t>
      </w:r>
      <w:r w:rsidR="00C013AE" w:rsidRPr="00216231">
        <w:rPr>
          <w:rFonts w:ascii="Bookman Old Style" w:hAnsi="Bookman Old Style" w:cs="Arial"/>
          <w:i/>
          <w:iCs/>
          <w:sz w:val="24"/>
          <w:szCs w:val="24"/>
        </w:rPr>
        <w:t>lo ha</w:t>
      </w:r>
      <w:r w:rsidRPr="00175C51">
        <w:rPr>
          <w:rFonts w:ascii="Bookman Old Style" w:hAnsi="Bookman Old Style" w:cs="Arial"/>
          <w:i/>
          <w:iCs/>
          <w:sz w:val="24"/>
          <w:szCs w:val="24"/>
        </w:rPr>
        <w:t xml:space="preserve"> reiterado la jurisprudencia de la Corte Constitucional como de la Corte Suprema de Justicia que, en tratándose de los contratos de seguro, por lo general y siempre las compañías se ubican en una posición dominante en el sentido de que son las que redactan el convenio del seguro. Y en esa posición, el asegurado</w:t>
      </w:r>
      <w:r w:rsidR="005C5B9C" w:rsidRPr="00175C51">
        <w:rPr>
          <w:rFonts w:ascii="Bookman Old Style" w:hAnsi="Bookman Old Style" w:cs="Arial"/>
          <w:i/>
          <w:iCs/>
          <w:sz w:val="24"/>
          <w:szCs w:val="24"/>
        </w:rPr>
        <w:t xml:space="preserve">r </w:t>
      </w:r>
      <w:r w:rsidR="005C5B9C" w:rsidRPr="00175C51">
        <w:rPr>
          <w:rFonts w:ascii="Bookman Old Style" w:hAnsi="Bookman Old Style" w:cs="Arial"/>
          <w:sz w:val="24"/>
          <w:szCs w:val="24"/>
        </w:rPr>
        <w:t>(sic)</w:t>
      </w:r>
      <w:r w:rsidRPr="00175C51">
        <w:rPr>
          <w:rFonts w:ascii="Bookman Old Style" w:hAnsi="Bookman Old Style" w:cs="Arial"/>
          <w:i/>
          <w:iCs/>
          <w:sz w:val="24"/>
          <w:szCs w:val="24"/>
        </w:rPr>
        <w:t xml:space="preserve"> queda en una parte desfavorecida. En ese entendido, ha establecido que, por norma general, en los contratos cuando se imponen</w:t>
      </w:r>
      <w:r w:rsidR="00524FD6" w:rsidRPr="00175C51">
        <w:rPr>
          <w:rFonts w:ascii="Bookman Old Style" w:hAnsi="Bookman Old Style" w:cs="Arial"/>
          <w:i/>
          <w:iCs/>
          <w:sz w:val="24"/>
          <w:szCs w:val="24"/>
        </w:rPr>
        <w:t xml:space="preserve"> condiciones desfavorables al asegurado, como cláusulas</w:t>
      </w:r>
      <w:r w:rsidRPr="00175C51">
        <w:rPr>
          <w:rFonts w:ascii="Bookman Old Style" w:hAnsi="Bookman Old Style" w:cs="Arial"/>
          <w:i/>
          <w:iCs/>
          <w:sz w:val="24"/>
          <w:szCs w:val="24"/>
        </w:rPr>
        <w:t xml:space="preserve"> </w:t>
      </w:r>
      <w:r w:rsidR="00524FD6" w:rsidRPr="00175C51">
        <w:rPr>
          <w:rFonts w:ascii="Bookman Old Style" w:hAnsi="Bookman Old Style" w:cs="Arial"/>
          <w:i/>
          <w:iCs/>
          <w:sz w:val="24"/>
          <w:szCs w:val="24"/>
        </w:rPr>
        <w:t xml:space="preserve">ambiguas u otro tipo de situaciones, tienen que favorecer al asegurado. En este orden de ideas, es dentro del contrato del seguro que se aportó y que rige a las partes, ha debido darse aplicación al artículo 1624 en el sentido de la cláusula que hace alusión del valor de rescate. Porque, en primer lugar, hay que establecer que la póliza, </w:t>
      </w:r>
      <w:r w:rsidR="005C5B9C" w:rsidRPr="00175C51">
        <w:rPr>
          <w:rFonts w:ascii="Bookman Old Style" w:hAnsi="Bookman Old Style" w:cs="Arial"/>
          <w:i/>
          <w:iCs/>
          <w:sz w:val="24"/>
          <w:szCs w:val="24"/>
        </w:rPr>
        <w:t xml:space="preserve">si bien se tituló como “renta dorada participación de ahorro”, lo cierto es </w:t>
      </w:r>
      <w:r w:rsidR="005C5B9C" w:rsidRPr="00175C51">
        <w:rPr>
          <w:rFonts w:ascii="Bookman Old Style" w:hAnsi="Bookman Old Style" w:cs="Arial"/>
          <w:i/>
          <w:iCs/>
          <w:sz w:val="24"/>
          <w:szCs w:val="24"/>
        </w:rPr>
        <w:lastRenderedPageBreak/>
        <w:t xml:space="preserve">que ni participación ni ahorro se estableció y eso quedó determinado dentro del contrato. La situación planteada es que el contrato de seguro de vida se determinó en el pago de 8 cuotas y que este pago de 8 cuotas genera un valor de rescate. Ese valor de rescate, como lo reitera y lo establece la norma, el Código de Comercio, es para una eventualidad que el asegurado llegue a terminar el contrato y se le devuelva ese valor de rescate. Ahora bien, establece el artículo 1155 que ese valor de rescate se puede aplicar durante ya pasados 2 años de vigencia de la póliza a opción del asegurado. Es decir, que no se le pueden imponer cargas y esa cláusula establecida en el contrato no se establece de manera voluntaria ni consensual sino es una imposición unilateral de la compañía de seguros para establecer que el valor de rescate se pagara las supuestas primas que se generarían en el contrato de seguro que se había pactado inicialmente. En ese entendido, no se hizo uso y aplicación en debida forma del artículo 1155 que establece que, a opción del asegurado, se puede usar ese valor de rescate para pagar, entre otras, la prórroga del seguro original. Si analizamos en detalle la cláusula en la cual se sustenta la compañía para utilizar el valor de rescate para hacer el pago de las primas del seguro establece que no hay una manera voluntaria que el asegurado haya optado para que, con base en ese valor de rescate, se pagara la cifra. Es una imposición unilateral de la compañía y no hay una consensualidad como lo ha establecido la jurisprudencia que, en los contratos consensuales, se discuten las cláusulas y se manifiesta esa voluntad de las partes. Pero en este caso, la mayoría de </w:t>
      </w:r>
      <w:r w:rsidR="00175C51" w:rsidRPr="00175C51">
        <w:rPr>
          <w:rFonts w:ascii="Bookman Old Style" w:hAnsi="Bookman Old Style" w:cs="Arial"/>
          <w:i/>
          <w:iCs/>
          <w:sz w:val="24"/>
          <w:szCs w:val="24"/>
        </w:rPr>
        <w:t>las cláusulas</w:t>
      </w:r>
      <w:r w:rsidR="005C5B9C" w:rsidRPr="00175C51">
        <w:rPr>
          <w:rFonts w:ascii="Bookman Old Style" w:hAnsi="Bookman Old Style" w:cs="Arial"/>
          <w:i/>
          <w:iCs/>
          <w:sz w:val="24"/>
          <w:szCs w:val="24"/>
        </w:rPr>
        <w:t>, como son una imposición, se establece como un contrato de adhesión, indistintamente de la forma y la redacción. En ese entendido, pues no se hizo uso de esa interpretación que debe dar</w:t>
      </w:r>
      <w:r w:rsidR="00175C51">
        <w:rPr>
          <w:rFonts w:ascii="Bookman Old Style" w:hAnsi="Bookman Old Style" w:cs="Arial"/>
          <w:i/>
          <w:iCs/>
          <w:sz w:val="24"/>
          <w:szCs w:val="24"/>
        </w:rPr>
        <w:t xml:space="preserve"> el artículo 1624 y la jurisprudencia que ha establecido la Corte Constitucional en el sentido de la interpretación de los contratos y esa ambigüedad que se maneja en favorecer a la parte menos de un contrato, en tratándose de unas compañías de seguro. En ese entendido, tenemos que, al ser un pago único de 8 cuotas y generarse un valor de rescate que era, según la normatividad establecida, la que determina el artículo 1158 que establece que cuando hay una</w:t>
      </w:r>
      <w:r w:rsidR="00175C51">
        <w:rPr>
          <w:rFonts w:ascii="Bookman Old Style" w:hAnsi="Bookman Old Style" w:cs="Arial"/>
          <w:sz w:val="24"/>
          <w:szCs w:val="24"/>
        </w:rPr>
        <w:t xml:space="preserve"> (sic)</w:t>
      </w:r>
      <w:r w:rsidR="00175C51">
        <w:rPr>
          <w:rFonts w:ascii="Bookman Old Style" w:hAnsi="Bookman Old Style" w:cs="Arial"/>
          <w:i/>
          <w:iCs/>
          <w:sz w:val="24"/>
          <w:szCs w:val="24"/>
        </w:rPr>
        <w:t xml:space="preserve"> rescindir el contrato por parte de la aseguradora, ese es el valor de rescate que se le debe reintegrar al asegurado. Y en eventual se puede utilizar, a opción, reitero, del asegurado. En ese entendido, pues considero que eventualmente pues sí, la compañía, pues tiene la facultad de dar por terminado el contrato cuando hay pago seguro, y eso lo establecen las normas y eso, y también pues, obviamente, el 1152 y el 1152 establecen las formas como se deben hacer los pagos en </w:t>
      </w:r>
      <w:r w:rsidR="00175C51">
        <w:rPr>
          <w:rFonts w:ascii="Bookman Old Style" w:hAnsi="Bookman Old Style" w:cs="Arial"/>
          <w:i/>
          <w:iCs/>
          <w:sz w:val="24"/>
          <w:szCs w:val="24"/>
        </w:rPr>
        <w:lastRenderedPageBreak/>
        <w:t>los seguros de vida en relación a las primas</w:t>
      </w:r>
      <w:r w:rsidR="00917974">
        <w:rPr>
          <w:rFonts w:ascii="Bookman Old Style" w:hAnsi="Bookman Old Style" w:cs="Arial"/>
          <w:i/>
          <w:iCs/>
          <w:sz w:val="24"/>
          <w:szCs w:val="24"/>
        </w:rPr>
        <w:t xml:space="preserve">. En ese entendido, pues considero que pues la sentencia no está ajustada a eso». </w:t>
      </w:r>
    </w:p>
    <w:p w14:paraId="4B4B1B16" w14:textId="20231951" w:rsidR="007D798C" w:rsidRDefault="007D798C" w:rsidP="00F92684">
      <w:pPr>
        <w:pStyle w:val="Sinespaciado"/>
        <w:spacing w:line="360" w:lineRule="auto"/>
        <w:ind w:firstLine="709"/>
        <w:jc w:val="both"/>
        <w:rPr>
          <w:rFonts w:ascii="Bookman Old Style" w:hAnsi="Bookman Old Style" w:cs="Arial"/>
          <w:sz w:val="28"/>
          <w:szCs w:val="28"/>
        </w:rPr>
      </w:pPr>
    </w:p>
    <w:p w14:paraId="7D8EFF3B" w14:textId="2AE7CCA2" w:rsidR="00917974" w:rsidRDefault="00917974"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A su turno, ante la Sala Civil del Tribunal Superior del Distrito Judicial de Bogotá, argumentó lo siguiente:</w:t>
      </w:r>
    </w:p>
    <w:p w14:paraId="19A23546" w14:textId="7EE290C6" w:rsidR="00917974" w:rsidRDefault="00917974" w:rsidP="00F92684">
      <w:pPr>
        <w:pStyle w:val="Sinespaciado"/>
        <w:spacing w:line="360" w:lineRule="auto"/>
        <w:ind w:firstLine="709"/>
        <w:jc w:val="both"/>
        <w:rPr>
          <w:rFonts w:ascii="Bookman Old Style" w:hAnsi="Bookman Old Style" w:cs="Arial"/>
          <w:sz w:val="28"/>
          <w:szCs w:val="28"/>
        </w:rPr>
      </w:pPr>
    </w:p>
    <w:p w14:paraId="054CCD46" w14:textId="7E1D50BD" w:rsidR="00917974" w:rsidRPr="007D6432" w:rsidRDefault="00917974" w:rsidP="007D6432">
      <w:pPr>
        <w:pStyle w:val="Sinespaciado"/>
        <w:spacing w:line="276" w:lineRule="auto"/>
        <w:ind w:left="709"/>
        <w:jc w:val="both"/>
        <w:rPr>
          <w:rFonts w:ascii="Bookman Old Style" w:hAnsi="Bookman Old Style" w:cs="Arial"/>
          <w:i/>
          <w:iCs/>
          <w:sz w:val="24"/>
          <w:szCs w:val="24"/>
        </w:rPr>
      </w:pPr>
      <w:r w:rsidRPr="00917974">
        <w:rPr>
          <w:rFonts w:ascii="Bookman Old Style" w:hAnsi="Bookman Old Style" w:cs="Arial"/>
          <w:sz w:val="24"/>
          <w:szCs w:val="24"/>
        </w:rPr>
        <w:t>«</w:t>
      </w:r>
      <w:r w:rsidRPr="007D6432">
        <w:rPr>
          <w:rFonts w:ascii="Bookman Old Style" w:hAnsi="Bookman Old Style" w:cs="Arial"/>
          <w:i/>
          <w:iCs/>
          <w:sz w:val="24"/>
          <w:szCs w:val="24"/>
        </w:rPr>
        <w:t>En primera instancia es importante recordar, tal como lo ha reiterado la jurisprudencia de</w:t>
      </w:r>
      <w:r w:rsidR="0000497C" w:rsidRPr="007D6432">
        <w:rPr>
          <w:rFonts w:ascii="Bookman Old Style" w:hAnsi="Bookman Old Style" w:cs="Arial"/>
          <w:i/>
          <w:iCs/>
          <w:sz w:val="24"/>
          <w:szCs w:val="24"/>
        </w:rPr>
        <w:t xml:space="preserve"> vieja data </w:t>
      </w:r>
      <w:r w:rsidRPr="00917974">
        <w:rPr>
          <w:rFonts w:ascii="Bookman Old Style" w:hAnsi="Bookman Old Style" w:cs="Arial"/>
          <w:i/>
          <w:iCs/>
          <w:sz w:val="24"/>
          <w:szCs w:val="24"/>
        </w:rPr>
        <w:t xml:space="preserve">que tiene </w:t>
      </w:r>
      <w:r w:rsidR="0000497C" w:rsidRPr="007D6432">
        <w:rPr>
          <w:rFonts w:ascii="Bookman Old Style" w:hAnsi="Bookman Old Style" w:cs="Arial"/>
          <w:i/>
          <w:iCs/>
          <w:sz w:val="24"/>
          <w:szCs w:val="24"/>
        </w:rPr>
        <w:t>definido</w:t>
      </w:r>
      <w:r w:rsidRPr="00917974">
        <w:rPr>
          <w:rFonts w:ascii="Bookman Old Style" w:hAnsi="Bookman Old Style" w:cs="Arial"/>
          <w:i/>
          <w:iCs/>
          <w:sz w:val="24"/>
          <w:szCs w:val="24"/>
        </w:rPr>
        <w:t xml:space="preserve"> que el contrato de seguro es de interpretación restrictiva, y por</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eso en su ámbito operativo</w:t>
      </w:r>
      <w:r w:rsidR="0000497C"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para determinar con exactitud los derechos y las obligaciones de</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los contratantes</w:t>
      </w:r>
      <w:r w:rsidR="0000497C"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predomina al texto de lo que suele denominarse </w:t>
      </w:r>
      <w:r w:rsidR="0000497C" w:rsidRPr="007D6432">
        <w:rPr>
          <w:rFonts w:ascii="Bookman Old Style" w:hAnsi="Bookman Old Style" w:cs="Arial"/>
          <w:i/>
          <w:iCs/>
          <w:sz w:val="24"/>
          <w:szCs w:val="24"/>
        </w:rPr>
        <w:t>escritura contentiva</w:t>
      </w:r>
      <w:r w:rsidRPr="00917974">
        <w:rPr>
          <w:rFonts w:ascii="Bookman Old Style" w:hAnsi="Bookman Old Style" w:cs="Arial"/>
          <w:i/>
          <w:iCs/>
          <w:sz w:val="24"/>
          <w:szCs w:val="24"/>
        </w:rPr>
        <w:t xml:space="preserve"> del</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contrato en la medida en que, por </w:t>
      </w:r>
      <w:r w:rsidR="0000497C" w:rsidRPr="007D6432">
        <w:rPr>
          <w:rFonts w:ascii="Bookman Old Style" w:hAnsi="Bookman Old Style" w:cs="Arial"/>
          <w:i/>
          <w:iCs/>
          <w:sz w:val="24"/>
          <w:szCs w:val="24"/>
        </w:rPr>
        <w:t>definición</w:t>
      </w:r>
      <w:r w:rsidRPr="00917974">
        <w:rPr>
          <w:rFonts w:ascii="Bookman Old Style" w:hAnsi="Bookman Old Style" w:cs="Arial"/>
          <w:i/>
          <w:iCs/>
          <w:sz w:val="24"/>
          <w:szCs w:val="24"/>
        </w:rPr>
        <w:t xml:space="preserve"> debe conceptuársele como </w:t>
      </w:r>
      <w:r w:rsidR="0000497C" w:rsidRPr="007D6432">
        <w:rPr>
          <w:rFonts w:ascii="Bookman Old Style" w:hAnsi="Bookman Old Style" w:cs="Arial"/>
          <w:i/>
          <w:iCs/>
          <w:sz w:val="24"/>
          <w:szCs w:val="24"/>
        </w:rPr>
        <w:t>expresión</w:t>
      </w:r>
      <w:r w:rsidRPr="00917974">
        <w:rPr>
          <w:rFonts w:ascii="Bookman Old Style" w:hAnsi="Bookman Old Style" w:cs="Arial"/>
          <w:i/>
          <w:iCs/>
          <w:sz w:val="24"/>
          <w:szCs w:val="24"/>
        </w:rPr>
        <w:t xml:space="preserve"> de un </w:t>
      </w:r>
      <w:r w:rsidR="0000497C" w:rsidRPr="007D6432">
        <w:rPr>
          <w:rFonts w:ascii="Bookman Old Style" w:hAnsi="Bookman Old Style" w:cs="Arial"/>
          <w:i/>
          <w:iCs/>
          <w:sz w:val="24"/>
          <w:szCs w:val="24"/>
        </w:rPr>
        <w:t>c</w:t>
      </w:r>
      <w:r w:rsidRPr="00917974">
        <w:rPr>
          <w:rFonts w:ascii="Bookman Old Style" w:hAnsi="Bookman Old Style" w:cs="Arial"/>
          <w:i/>
          <w:iCs/>
          <w:sz w:val="24"/>
          <w:szCs w:val="24"/>
        </w:rPr>
        <w:t>onjunto</w:t>
      </w:r>
      <w:r w:rsidR="0000497C" w:rsidRPr="007D6432">
        <w:rPr>
          <w:rFonts w:ascii="Bookman Old Style" w:hAnsi="Bookman Old Style" w:cs="Arial"/>
          <w:i/>
          <w:iCs/>
          <w:sz w:val="24"/>
          <w:szCs w:val="24"/>
        </w:rPr>
        <w:t xml:space="preserve"> sistemático</w:t>
      </w:r>
      <w:r w:rsidRPr="00917974">
        <w:rPr>
          <w:rFonts w:ascii="Bookman Old Style" w:hAnsi="Bookman Old Style" w:cs="Arial"/>
          <w:i/>
          <w:iCs/>
          <w:sz w:val="24"/>
          <w:szCs w:val="24"/>
        </w:rPr>
        <w:t xml:space="preserve"> de </w:t>
      </w:r>
      <w:r w:rsidR="0000497C" w:rsidRPr="007D6432">
        <w:rPr>
          <w:rFonts w:ascii="Bookman Old Style" w:hAnsi="Bookman Old Style" w:cs="Arial"/>
          <w:i/>
          <w:iCs/>
          <w:sz w:val="24"/>
          <w:szCs w:val="24"/>
        </w:rPr>
        <w:t>condiciones</w:t>
      </w:r>
      <w:r w:rsidRPr="00917974">
        <w:rPr>
          <w:rFonts w:ascii="Bookman Old Style" w:hAnsi="Bookman Old Style" w:cs="Arial"/>
          <w:i/>
          <w:iCs/>
          <w:sz w:val="24"/>
          <w:szCs w:val="24"/>
        </w:rPr>
        <w:t xml:space="preserve"> generales y </w:t>
      </w:r>
      <w:r w:rsidR="0000497C" w:rsidRPr="007D6432">
        <w:rPr>
          <w:rFonts w:ascii="Bookman Old Style" w:hAnsi="Bookman Old Style" w:cs="Arial"/>
          <w:i/>
          <w:iCs/>
          <w:sz w:val="24"/>
          <w:szCs w:val="24"/>
        </w:rPr>
        <w:t>particulares</w:t>
      </w:r>
      <w:r w:rsidRPr="00917974">
        <w:rPr>
          <w:rFonts w:ascii="Bookman Old Style" w:hAnsi="Bookman Old Style" w:cs="Arial"/>
          <w:i/>
          <w:iCs/>
          <w:sz w:val="24"/>
          <w:szCs w:val="24"/>
        </w:rPr>
        <w:t xml:space="preserve"> que los</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jueces deben examinar con cuidado,</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especialmente lo que tiene que ver con la </w:t>
      </w:r>
      <w:r w:rsidR="0000497C" w:rsidRPr="007D6432">
        <w:rPr>
          <w:rFonts w:ascii="Bookman Old Style" w:hAnsi="Bookman Old Style" w:cs="Arial"/>
          <w:i/>
          <w:iCs/>
          <w:sz w:val="24"/>
          <w:szCs w:val="24"/>
        </w:rPr>
        <w:t>cláusula</w:t>
      </w:r>
      <w:r w:rsidRPr="00917974">
        <w:rPr>
          <w:rFonts w:ascii="Bookman Old Style" w:hAnsi="Bookman Old Style" w:cs="Arial"/>
          <w:i/>
          <w:iCs/>
          <w:sz w:val="24"/>
          <w:szCs w:val="24"/>
        </w:rPr>
        <w:t xml:space="preserve"> atinente a la extensión de los </w:t>
      </w:r>
      <w:r w:rsidR="0000497C" w:rsidRPr="007D6432">
        <w:rPr>
          <w:rFonts w:ascii="Bookman Old Style" w:hAnsi="Bookman Old Style" w:cs="Arial"/>
          <w:i/>
          <w:iCs/>
          <w:sz w:val="24"/>
          <w:szCs w:val="24"/>
        </w:rPr>
        <w:t>riesgos cubiertos</w:t>
      </w:r>
      <w:r w:rsidRPr="00917974">
        <w:rPr>
          <w:rFonts w:ascii="Bookman Old Style" w:hAnsi="Bookman Old Style" w:cs="Arial"/>
          <w:i/>
          <w:iCs/>
          <w:sz w:val="24"/>
          <w:szCs w:val="24"/>
        </w:rPr>
        <w:t xml:space="preserve"> </w:t>
      </w:r>
      <w:r w:rsidR="0000497C" w:rsidRPr="007D6432">
        <w:rPr>
          <w:rFonts w:ascii="Bookman Old Style" w:hAnsi="Bookman Old Style" w:cs="Arial"/>
          <w:i/>
          <w:iCs/>
          <w:sz w:val="24"/>
          <w:szCs w:val="24"/>
        </w:rPr>
        <w:t>en</w:t>
      </w:r>
      <w:r w:rsidRPr="00917974">
        <w:rPr>
          <w:rFonts w:ascii="Bookman Old Style" w:hAnsi="Bookman Old Style" w:cs="Arial"/>
          <w:i/>
          <w:iCs/>
          <w:sz w:val="24"/>
          <w:szCs w:val="24"/>
        </w:rPr>
        <w:t xml:space="preserve"> cada</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caso y </w:t>
      </w:r>
      <w:r w:rsidR="0000497C" w:rsidRPr="007D6432">
        <w:rPr>
          <w:rFonts w:ascii="Bookman Old Style" w:hAnsi="Bookman Old Style" w:cs="Arial"/>
          <w:i/>
          <w:iCs/>
          <w:sz w:val="24"/>
          <w:szCs w:val="24"/>
        </w:rPr>
        <w:t>su</w:t>
      </w:r>
      <w:r w:rsidRPr="00917974">
        <w:rPr>
          <w:rFonts w:ascii="Bookman Old Style" w:hAnsi="Bookman Old Style" w:cs="Arial"/>
          <w:i/>
          <w:iCs/>
          <w:sz w:val="24"/>
          <w:szCs w:val="24"/>
        </w:rPr>
        <w:t xml:space="preserve"> delimitación, evitando favorecer soluciones en </w:t>
      </w:r>
      <w:r w:rsidR="0000497C" w:rsidRPr="007D6432">
        <w:rPr>
          <w:rFonts w:ascii="Bookman Old Style" w:hAnsi="Bookman Old Style" w:cs="Arial"/>
          <w:i/>
          <w:iCs/>
          <w:sz w:val="24"/>
          <w:szCs w:val="24"/>
        </w:rPr>
        <w:t>mérito</w:t>
      </w:r>
      <w:r w:rsidRPr="00917974">
        <w:rPr>
          <w:rFonts w:ascii="Bookman Old Style" w:hAnsi="Bookman Old Style" w:cs="Arial"/>
          <w:i/>
          <w:iCs/>
          <w:sz w:val="24"/>
          <w:szCs w:val="24"/>
        </w:rPr>
        <w:t xml:space="preserve"> de las cuales la compañía</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ase</w:t>
      </w:r>
      <w:r w:rsidR="00916DFC">
        <w:rPr>
          <w:rFonts w:ascii="Bookman Old Style" w:hAnsi="Bookman Old Style" w:cs="Arial"/>
          <w:i/>
          <w:iCs/>
          <w:sz w:val="24"/>
          <w:szCs w:val="24"/>
        </w:rPr>
        <w:t>gur</w:t>
      </w:r>
      <w:r w:rsidRPr="00917974">
        <w:rPr>
          <w:rFonts w:ascii="Bookman Old Style" w:hAnsi="Bookman Old Style" w:cs="Arial"/>
          <w:i/>
          <w:iCs/>
          <w:sz w:val="24"/>
          <w:szCs w:val="24"/>
        </w:rPr>
        <w:t xml:space="preserve">adora termine eludiendo su responsabilidad, al amparo de </w:t>
      </w:r>
      <w:r w:rsidR="0000497C" w:rsidRPr="007D6432">
        <w:rPr>
          <w:rFonts w:ascii="Bookman Old Style" w:hAnsi="Bookman Old Style" w:cs="Arial"/>
          <w:i/>
          <w:iCs/>
          <w:sz w:val="24"/>
          <w:szCs w:val="24"/>
        </w:rPr>
        <w:t>cláusulas</w:t>
      </w:r>
      <w:r w:rsidRPr="00917974">
        <w:rPr>
          <w:rFonts w:ascii="Bookman Old Style" w:hAnsi="Bookman Old Style" w:cs="Arial"/>
          <w:i/>
          <w:iCs/>
          <w:sz w:val="24"/>
          <w:szCs w:val="24"/>
        </w:rPr>
        <w:t xml:space="preserve"> confusas que debe</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estar al </w:t>
      </w:r>
      <w:r w:rsidR="0000497C" w:rsidRPr="007D6432">
        <w:rPr>
          <w:rFonts w:ascii="Bookman Old Style" w:hAnsi="Bookman Old Style" w:cs="Arial"/>
          <w:i/>
          <w:iCs/>
          <w:sz w:val="24"/>
          <w:szCs w:val="24"/>
        </w:rPr>
        <w:t>criterio</w:t>
      </w:r>
      <w:r w:rsidRPr="00917974">
        <w:rPr>
          <w:rFonts w:ascii="Bookman Old Style" w:hAnsi="Bookman Old Style" w:cs="Arial"/>
          <w:i/>
          <w:iCs/>
          <w:sz w:val="24"/>
          <w:szCs w:val="24"/>
        </w:rPr>
        <w:t xml:space="preserve"> de la buena</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fe, que podían </w:t>
      </w:r>
      <w:r w:rsidR="0000497C" w:rsidRPr="007D6432">
        <w:rPr>
          <w:rFonts w:ascii="Bookman Old Style" w:hAnsi="Bookman Old Style" w:cs="Arial"/>
          <w:i/>
          <w:iCs/>
          <w:sz w:val="24"/>
          <w:szCs w:val="24"/>
        </w:rPr>
        <w:t>recibir</w:t>
      </w:r>
      <w:r w:rsidRPr="00917974">
        <w:rPr>
          <w:rFonts w:ascii="Bookman Old Style" w:hAnsi="Bookman Old Style" w:cs="Arial"/>
          <w:i/>
          <w:iCs/>
          <w:sz w:val="24"/>
          <w:szCs w:val="24"/>
        </w:rPr>
        <w:t xml:space="preserve"> una inteligencia que en equidad consulte</w:t>
      </w:r>
      <w:r w:rsidR="0000497C" w:rsidRPr="007D6432">
        <w:rPr>
          <w:rFonts w:ascii="Bookman Old Style" w:hAnsi="Bookman Old Style" w:cs="Arial"/>
          <w:i/>
          <w:iCs/>
          <w:sz w:val="24"/>
          <w:szCs w:val="24"/>
        </w:rPr>
        <w:t xml:space="preserve"> mejor</w:t>
      </w:r>
      <w:r w:rsidRPr="00917974">
        <w:rPr>
          <w:rFonts w:ascii="Bookman Old Style" w:hAnsi="Bookman Old Style" w:cs="Arial"/>
          <w:i/>
          <w:iCs/>
          <w:sz w:val="24"/>
          <w:szCs w:val="24"/>
        </w:rPr>
        <w:t xml:space="preserve"> los intereses del asegurado, o lo que es todavía m</w:t>
      </w:r>
      <w:r w:rsidR="0000497C" w:rsidRPr="007D6432">
        <w:rPr>
          <w:rFonts w:ascii="Bookman Old Style" w:hAnsi="Bookman Old Style" w:cs="Arial"/>
          <w:i/>
          <w:iCs/>
          <w:sz w:val="24"/>
          <w:szCs w:val="24"/>
        </w:rPr>
        <w:t>á</w:t>
      </w:r>
      <w:r w:rsidRPr="00917974">
        <w:rPr>
          <w:rFonts w:ascii="Bookman Old Style" w:hAnsi="Bookman Old Style" w:cs="Arial"/>
          <w:i/>
          <w:iCs/>
          <w:sz w:val="24"/>
          <w:szCs w:val="24"/>
        </w:rPr>
        <w:t>s</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grave, </w:t>
      </w:r>
      <w:r w:rsidR="0000497C" w:rsidRPr="007D6432">
        <w:rPr>
          <w:rFonts w:ascii="Bookman Old Style" w:hAnsi="Bookman Old Style" w:cs="Arial"/>
          <w:i/>
          <w:iCs/>
          <w:sz w:val="24"/>
          <w:szCs w:val="24"/>
        </w:rPr>
        <w:t>dejando</w:t>
      </w:r>
      <w:r w:rsidRPr="00917974">
        <w:rPr>
          <w:rFonts w:ascii="Bookman Old Style" w:hAnsi="Bookman Old Style" w:cs="Arial"/>
          <w:i/>
          <w:iCs/>
          <w:sz w:val="24"/>
          <w:szCs w:val="24"/>
        </w:rPr>
        <w:t xml:space="preserve"> sin</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función el contrato</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a pesar de las </w:t>
      </w:r>
      <w:r w:rsidR="0000497C" w:rsidRPr="007D6432">
        <w:rPr>
          <w:rFonts w:ascii="Bookman Old Style" w:hAnsi="Bookman Old Style" w:cs="Arial"/>
          <w:i/>
          <w:iCs/>
          <w:sz w:val="24"/>
          <w:szCs w:val="24"/>
        </w:rPr>
        <w:t xml:space="preserve">características </w:t>
      </w:r>
      <w:r w:rsidRPr="00917974">
        <w:rPr>
          <w:rFonts w:ascii="Bookman Old Style" w:hAnsi="Bookman Old Style" w:cs="Arial"/>
          <w:i/>
          <w:iCs/>
          <w:sz w:val="24"/>
          <w:szCs w:val="24"/>
        </w:rPr>
        <w:t>propias del contrato de se</w:t>
      </w:r>
      <w:r w:rsidR="0000497C" w:rsidRPr="007D6432">
        <w:rPr>
          <w:rFonts w:ascii="Bookman Old Style" w:hAnsi="Bookman Old Style" w:cs="Arial"/>
          <w:i/>
          <w:iCs/>
          <w:sz w:val="24"/>
          <w:szCs w:val="24"/>
        </w:rPr>
        <w:t>gu</w:t>
      </w:r>
      <w:r w:rsidRPr="00917974">
        <w:rPr>
          <w:rFonts w:ascii="Bookman Old Style" w:hAnsi="Bookman Old Style" w:cs="Arial"/>
          <w:i/>
          <w:iCs/>
          <w:sz w:val="24"/>
          <w:szCs w:val="24"/>
        </w:rPr>
        <w:t xml:space="preserve">ro que </w:t>
      </w:r>
      <w:r w:rsidR="0000497C" w:rsidRPr="007D6432">
        <w:rPr>
          <w:rFonts w:ascii="Bookman Old Style" w:hAnsi="Bookman Old Style" w:cs="Arial"/>
          <w:i/>
          <w:iCs/>
          <w:sz w:val="24"/>
          <w:szCs w:val="24"/>
        </w:rPr>
        <w:t>constituye</w:t>
      </w:r>
      <w:r w:rsidRPr="00917974">
        <w:rPr>
          <w:rFonts w:ascii="Bookman Old Style" w:hAnsi="Bookman Old Style" w:cs="Arial"/>
          <w:i/>
          <w:iCs/>
          <w:sz w:val="24"/>
          <w:szCs w:val="24"/>
        </w:rPr>
        <w:t xml:space="preserve"> su objeto</w:t>
      </w:r>
      <w:r w:rsidR="0000497C" w:rsidRPr="007D6432">
        <w:rPr>
          <w:rFonts w:ascii="Bookman Old Style" w:hAnsi="Bookman Old Style" w:cs="Arial"/>
          <w:i/>
          <w:iCs/>
          <w:sz w:val="24"/>
          <w:szCs w:val="24"/>
        </w:rPr>
        <w:t>.</w:t>
      </w:r>
    </w:p>
    <w:p w14:paraId="27D9DABB" w14:textId="77777777" w:rsidR="0000497C" w:rsidRPr="00917974" w:rsidRDefault="0000497C" w:rsidP="007D6432">
      <w:pPr>
        <w:pStyle w:val="Sinespaciado"/>
        <w:spacing w:line="276" w:lineRule="auto"/>
        <w:ind w:left="709"/>
        <w:jc w:val="both"/>
        <w:rPr>
          <w:rFonts w:ascii="Bookman Old Style" w:hAnsi="Bookman Old Style" w:cs="Arial"/>
          <w:i/>
          <w:iCs/>
          <w:sz w:val="24"/>
          <w:szCs w:val="24"/>
        </w:rPr>
      </w:pPr>
    </w:p>
    <w:p w14:paraId="7FBB7F32" w14:textId="77777777" w:rsidR="0000497C" w:rsidRPr="007D6432" w:rsidRDefault="00917974" w:rsidP="007D6432">
      <w:pPr>
        <w:pStyle w:val="Sinespaciado"/>
        <w:spacing w:line="276" w:lineRule="auto"/>
        <w:ind w:left="709"/>
        <w:jc w:val="both"/>
        <w:rPr>
          <w:rFonts w:ascii="Bookman Old Style" w:hAnsi="Bookman Old Style" w:cs="Arial"/>
          <w:i/>
          <w:iCs/>
          <w:sz w:val="24"/>
          <w:szCs w:val="24"/>
        </w:rPr>
      </w:pPr>
      <w:r w:rsidRPr="00917974">
        <w:rPr>
          <w:rFonts w:ascii="Bookman Old Style" w:hAnsi="Bookman Old Style" w:cs="Arial"/>
          <w:i/>
          <w:iCs/>
          <w:sz w:val="24"/>
          <w:szCs w:val="24"/>
        </w:rPr>
        <w:t>As</w:t>
      </w:r>
      <w:r w:rsidR="0000497C" w:rsidRPr="007D6432">
        <w:rPr>
          <w:rFonts w:ascii="Bookman Old Style" w:hAnsi="Bookman Old Style" w:cs="Arial"/>
          <w:i/>
          <w:iCs/>
          <w:sz w:val="24"/>
          <w:szCs w:val="24"/>
        </w:rPr>
        <w:t>í</w:t>
      </w:r>
      <w:r w:rsidRPr="00917974">
        <w:rPr>
          <w:rFonts w:ascii="Bookman Old Style" w:hAnsi="Bookman Old Style" w:cs="Arial"/>
          <w:i/>
          <w:iCs/>
          <w:sz w:val="24"/>
          <w:szCs w:val="24"/>
        </w:rPr>
        <w:t xml:space="preserve"> mismo, ha determinado la</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jurisprudencia en el tema de </w:t>
      </w:r>
      <w:r w:rsidR="0000497C" w:rsidRPr="007D6432">
        <w:rPr>
          <w:rFonts w:ascii="Bookman Old Style" w:hAnsi="Bookman Old Style" w:cs="Arial"/>
          <w:i/>
          <w:iCs/>
          <w:sz w:val="24"/>
          <w:szCs w:val="24"/>
        </w:rPr>
        <w:t>seguros,</w:t>
      </w:r>
      <w:r w:rsidRPr="00917974">
        <w:rPr>
          <w:rFonts w:ascii="Bookman Old Style" w:hAnsi="Bookman Old Style" w:cs="Arial"/>
          <w:i/>
          <w:iCs/>
          <w:sz w:val="24"/>
          <w:szCs w:val="24"/>
        </w:rPr>
        <w:t xml:space="preserve"> en la sentencia del 29</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de agosto de 1980 que "en el derecho positivo Colombiano impera </w:t>
      </w:r>
      <w:r w:rsidR="0000497C" w:rsidRPr="007D6432">
        <w:rPr>
          <w:rFonts w:ascii="Bookman Old Style" w:hAnsi="Bookman Old Style" w:cs="Arial"/>
          <w:i/>
          <w:iCs/>
          <w:sz w:val="24"/>
          <w:szCs w:val="24"/>
        </w:rPr>
        <w:t>el principio</w:t>
      </w:r>
      <w:r w:rsidRPr="00917974">
        <w:rPr>
          <w:rFonts w:ascii="Bookman Old Style" w:hAnsi="Bookman Old Style" w:cs="Arial"/>
          <w:i/>
          <w:iCs/>
          <w:sz w:val="24"/>
          <w:szCs w:val="24"/>
        </w:rPr>
        <w:t xml:space="preserve"> según el cual</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las </w:t>
      </w:r>
      <w:r w:rsidR="0000497C" w:rsidRPr="007D6432">
        <w:rPr>
          <w:rFonts w:ascii="Bookman Old Style" w:hAnsi="Bookman Old Style" w:cs="Arial"/>
          <w:i/>
          <w:iCs/>
          <w:sz w:val="24"/>
          <w:szCs w:val="24"/>
        </w:rPr>
        <w:t>leyes</w:t>
      </w:r>
      <w:r w:rsidRPr="00917974">
        <w:rPr>
          <w:rFonts w:ascii="Bookman Old Style" w:hAnsi="Bookman Old Style" w:cs="Arial"/>
          <w:i/>
          <w:iCs/>
          <w:sz w:val="24"/>
          <w:szCs w:val="24"/>
        </w:rPr>
        <w:t xml:space="preserve"> que regulan los contratos son </w:t>
      </w:r>
      <w:r w:rsidR="0000497C" w:rsidRPr="007D6432">
        <w:rPr>
          <w:rFonts w:ascii="Bookman Old Style" w:hAnsi="Bookman Old Style" w:cs="Arial"/>
          <w:i/>
          <w:iCs/>
          <w:sz w:val="24"/>
          <w:szCs w:val="24"/>
        </w:rPr>
        <w:t xml:space="preserve">normas </w:t>
      </w:r>
      <w:r w:rsidRPr="00917974">
        <w:rPr>
          <w:rFonts w:ascii="Bookman Old Style" w:hAnsi="Bookman Old Style" w:cs="Arial"/>
          <w:i/>
          <w:iCs/>
          <w:sz w:val="24"/>
          <w:szCs w:val="24"/>
        </w:rPr>
        <w:t>supletorias de la voluntad de los contratantes, cuando</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estos</w:t>
      </w:r>
      <w:r w:rsidR="0000497C"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al celebrarlos</w:t>
      </w:r>
      <w:r w:rsidR="0000497C"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acatan las </w:t>
      </w:r>
      <w:r w:rsidR="0000497C" w:rsidRPr="007D6432">
        <w:rPr>
          <w:rFonts w:ascii="Bookman Old Style" w:hAnsi="Bookman Old Style" w:cs="Arial"/>
          <w:i/>
          <w:iCs/>
          <w:sz w:val="24"/>
          <w:szCs w:val="24"/>
        </w:rPr>
        <w:t>prescripciones</w:t>
      </w:r>
      <w:r w:rsidRPr="00917974">
        <w:rPr>
          <w:rFonts w:ascii="Bookman Old Style" w:hAnsi="Bookman Old Style" w:cs="Arial"/>
          <w:i/>
          <w:iCs/>
          <w:sz w:val="24"/>
          <w:szCs w:val="24"/>
        </w:rPr>
        <w:t xml:space="preserve"> legales y respetan el orden </w:t>
      </w:r>
      <w:r w:rsidR="0000497C" w:rsidRPr="007D6432">
        <w:rPr>
          <w:rFonts w:ascii="Bookman Old Style" w:hAnsi="Bookman Old Style" w:cs="Arial"/>
          <w:i/>
          <w:iCs/>
          <w:sz w:val="24"/>
          <w:szCs w:val="24"/>
        </w:rPr>
        <w:t>público y</w:t>
      </w:r>
      <w:r w:rsidRPr="00917974">
        <w:rPr>
          <w:rFonts w:ascii="Bookman Old Style" w:hAnsi="Bookman Old Style" w:cs="Arial"/>
          <w:i/>
          <w:iCs/>
          <w:sz w:val="24"/>
          <w:szCs w:val="24"/>
        </w:rPr>
        <w:t xml:space="preserve"> las buenas</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costumbres"</w:t>
      </w:r>
      <w:r w:rsidR="0000497C"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w:t>
      </w:r>
    </w:p>
    <w:p w14:paraId="75B8B39E" w14:textId="77777777" w:rsidR="0000497C" w:rsidRPr="007D6432" w:rsidRDefault="0000497C" w:rsidP="007D6432">
      <w:pPr>
        <w:pStyle w:val="Sinespaciado"/>
        <w:spacing w:line="276" w:lineRule="auto"/>
        <w:ind w:left="709"/>
        <w:jc w:val="both"/>
        <w:rPr>
          <w:rFonts w:ascii="Bookman Old Style" w:hAnsi="Bookman Old Style" w:cs="Arial"/>
          <w:i/>
          <w:iCs/>
          <w:sz w:val="24"/>
          <w:szCs w:val="24"/>
        </w:rPr>
      </w:pPr>
    </w:p>
    <w:p w14:paraId="68C4E5FB" w14:textId="7AF42155" w:rsidR="00917974" w:rsidRPr="007D6432" w:rsidRDefault="0000497C" w:rsidP="007D6432">
      <w:pPr>
        <w:pStyle w:val="Sinespaciado"/>
        <w:spacing w:line="276" w:lineRule="auto"/>
        <w:ind w:left="709"/>
        <w:jc w:val="both"/>
        <w:rPr>
          <w:rFonts w:ascii="Bookman Old Style" w:hAnsi="Bookman Old Style" w:cs="Arial"/>
          <w:i/>
          <w:iCs/>
          <w:sz w:val="24"/>
          <w:szCs w:val="24"/>
        </w:rPr>
      </w:pPr>
      <w:r w:rsidRPr="007D6432">
        <w:rPr>
          <w:rFonts w:ascii="Bookman Old Style" w:hAnsi="Bookman Old Style" w:cs="Arial"/>
          <w:i/>
          <w:iCs/>
          <w:sz w:val="24"/>
          <w:szCs w:val="24"/>
        </w:rPr>
        <w:t>Así</w:t>
      </w:r>
      <w:r w:rsidR="00917974" w:rsidRPr="00917974">
        <w:rPr>
          <w:rFonts w:ascii="Bookman Old Style" w:hAnsi="Bookman Old Style" w:cs="Arial"/>
          <w:i/>
          <w:iCs/>
          <w:sz w:val="24"/>
          <w:szCs w:val="24"/>
        </w:rPr>
        <w:t xml:space="preserve"> mismo</w:t>
      </w:r>
      <w:r w:rsidRPr="007D6432">
        <w:rPr>
          <w:rFonts w:ascii="Bookman Old Style" w:hAnsi="Bookman Old Style" w:cs="Arial"/>
          <w:i/>
          <w:iCs/>
          <w:sz w:val="24"/>
          <w:szCs w:val="24"/>
        </w:rPr>
        <w:t>,</w:t>
      </w:r>
      <w:r w:rsidR="00917974" w:rsidRPr="00917974">
        <w:rPr>
          <w:rFonts w:ascii="Bookman Old Style" w:hAnsi="Bookman Old Style" w:cs="Arial"/>
          <w:i/>
          <w:iCs/>
          <w:sz w:val="24"/>
          <w:szCs w:val="24"/>
        </w:rPr>
        <w:t xml:space="preserve"> en sentencia del 18 de septiembre de 2012</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precis</w:t>
      </w:r>
      <w:r w:rsidRPr="007D6432">
        <w:rPr>
          <w:rFonts w:ascii="Bookman Old Style" w:hAnsi="Bookman Old Style" w:cs="Arial"/>
          <w:i/>
          <w:iCs/>
          <w:sz w:val="24"/>
          <w:szCs w:val="24"/>
        </w:rPr>
        <w:t>ó</w:t>
      </w:r>
      <w:r w:rsidR="00917974" w:rsidRPr="00917974">
        <w:rPr>
          <w:rFonts w:ascii="Bookman Old Style" w:hAnsi="Bookman Old Style" w:cs="Arial"/>
          <w:i/>
          <w:iCs/>
          <w:sz w:val="24"/>
          <w:szCs w:val="24"/>
        </w:rPr>
        <w:t xml:space="preserve"> la </w:t>
      </w:r>
      <w:r w:rsidRPr="007D6432">
        <w:rPr>
          <w:rFonts w:ascii="Bookman Old Style" w:hAnsi="Bookman Old Style" w:cs="Arial"/>
          <w:i/>
          <w:iCs/>
          <w:sz w:val="24"/>
          <w:szCs w:val="24"/>
        </w:rPr>
        <w:t>C</w:t>
      </w:r>
      <w:r w:rsidR="00917974" w:rsidRPr="00917974">
        <w:rPr>
          <w:rFonts w:ascii="Bookman Old Style" w:hAnsi="Bookman Old Style" w:cs="Arial"/>
          <w:i/>
          <w:iCs/>
          <w:sz w:val="24"/>
          <w:szCs w:val="24"/>
        </w:rPr>
        <w:t xml:space="preserve">orte </w:t>
      </w:r>
      <w:r w:rsidRPr="007D6432">
        <w:rPr>
          <w:rFonts w:ascii="Bookman Old Style" w:hAnsi="Bookman Old Style" w:cs="Arial"/>
          <w:i/>
          <w:iCs/>
          <w:sz w:val="24"/>
          <w:szCs w:val="24"/>
        </w:rPr>
        <w:t>S</w:t>
      </w:r>
      <w:r w:rsidR="00917974" w:rsidRPr="00917974">
        <w:rPr>
          <w:rFonts w:ascii="Bookman Old Style" w:hAnsi="Bookman Old Style" w:cs="Arial"/>
          <w:i/>
          <w:iCs/>
          <w:sz w:val="24"/>
          <w:szCs w:val="24"/>
        </w:rPr>
        <w:t>uprema</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en Sala de Casación Civil lo siguiente "las póli</w:t>
      </w:r>
      <w:r w:rsidRPr="007D6432">
        <w:rPr>
          <w:rFonts w:ascii="Bookman Old Style" w:hAnsi="Bookman Old Style" w:cs="Arial"/>
          <w:i/>
          <w:iCs/>
          <w:sz w:val="24"/>
          <w:szCs w:val="24"/>
        </w:rPr>
        <w:t>za</w:t>
      </w:r>
      <w:r w:rsidR="00917974" w:rsidRPr="00917974">
        <w:rPr>
          <w:rFonts w:ascii="Bookman Old Style" w:hAnsi="Bookman Old Style" w:cs="Arial"/>
          <w:i/>
          <w:iCs/>
          <w:sz w:val="24"/>
          <w:szCs w:val="24"/>
        </w:rPr>
        <w:t>s representativas del contrato de seguro</w:t>
      </w:r>
      <w:r w:rsidRPr="007D6432">
        <w:rPr>
          <w:rFonts w:ascii="Bookman Old Style" w:hAnsi="Bookman Old Style" w:cs="Arial"/>
          <w:i/>
          <w:iCs/>
          <w:sz w:val="24"/>
          <w:szCs w:val="24"/>
        </w:rPr>
        <w:t>,</w:t>
      </w:r>
      <w:r w:rsidR="00917974" w:rsidRPr="00917974">
        <w:rPr>
          <w:rFonts w:ascii="Bookman Old Style" w:hAnsi="Bookman Old Style" w:cs="Arial"/>
          <w:i/>
          <w:iCs/>
          <w:sz w:val="24"/>
          <w:szCs w:val="24"/>
        </w:rPr>
        <w:t xml:space="preserve"> por</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regla general</w:t>
      </w:r>
      <w:r w:rsidRPr="007D6432">
        <w:rPr>
          <w:rFonts w:ascii="Bookman Old Style" w:hAnsi="Bookman Old Style" w:cs="Arial"/>
          <w:i/>
          <w:iCs/>
          <w:sz w:val="24"/>
          <w:szCs w:val="24"/>
        </w:rPr>
        <w:t>,</w:t>
      </w:r>
      <w:r w:rsidR="00917974" w:rsidRPr="00917974">
        <w:rPr>
          <w:rFonts w:ascii="Bookman Old Style" w:hAnsi="Bookman Old Style" w:cs="Arial"/>
          <w:i/>
          <w:iCs/>
          <w:sz w:val="24"/>
          <w:szCs w:val="24"/>
        </w:rPr>
        <w:t xml:space="preserve"> constan en formatos pre-</w:t>
      </w:r>
      <w:r w:rsidRPr="007D6432">
        <w:rPr>
          <w:rFonts w:ascii="Bookman Old Style" w:hAnsi="Bookman Old Style" w:cs="Arial"/>
          <w:i/>
          <w:iCs/>
          <w:sz w:val="24"/>
          <w:szCs w:val="24"/>
        </w:rPr>
        <w:t>i</w:t>
      </w:r>
      <w:r w:rsidR="00917974" w:rsidRPr="00917974">
        <w:rPr>
          <w:rFonts w:ascii="Bookman Old Style" w:hAnsi="Bookman Old Style" w:cs="Arial"/>
          <w:i/>
          <w:iCs/>
          <w:sz w:val="24"/>
          <w:szCs w:val="24"/>
        </w:rPr>
        <w:t>mpresos en los que impera la voluntad de la</w:t>
      </w:r>
      <w:r w:rsidRPr="007D6432">
        <w:rPr>
          <w:rFonts w:ascii="Bookman Old Style" w:hAnsi="Bookman Old Style" w:cs="Arial"/>
          <w:i/>
          <w:iCs/>
          <w:sz w:val="24"/>
          <w:szCs w:val="24"/>
        </w:rPr>
        <w:t xml:space="preserve"> aseguradora</w:t>
      </w:r>
      <w:r w:rsidR="00917974" w:rsidRPr="00917974">
        <w:rPr>
          <w:rFonts w:ascii="Bookman Old Style" w:hAnsi="Bookman Old Style" w:cs="Arial"/>
          <w:i/>
          <w:iCs/>
          <w:sz w:val="24"/>
          <w:szCs w:val="24"/>
        </w:rPr>
        <w:t>, en ellos hay muy poco margen para el disentimiento frente a las estipulaciones,</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las que deben ser acatadas sin mayor posibilidad de discusión presentándose una simple</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adhesión</w:t>
      </w:r>
      <w:r w:rsidRPr="007D6432">
        <w:rPr>
          <w:rFonts w:ascii="Bookman Old Style" w:hAnsi="Bookman Old Style" w:cs="Arial"/>
          <w:i/>
          <w:iCs/>
          <w:sz w:val="24"/>
          <w:szCs w:val="24"/>
        </w:rPr>
        <w:t>.</w:t>
      </w:r>
      <w:r w:rsidR="00917974" w:rsidRPr="00917974">
        <w:rPr>
          <w:rFonts w:ascii="Bookman Old Style" w:hAnsi="Bookman Old Style" w:cs="Arial"/>
          <w:i/>
          <w:iCs/>
          <w:sz w:val="24"/>
          <w:szCs w:val="24"/>
        </w:rPr>
        <w:t xml:space="preserve"> Igualmente, a veces incluyen en los mismos</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 xml:space="preserve">pasajes </w:t>
      </w:r>
      <w:r w:rsidRPr="007D6432">
        <w:rPr>
          <w:rFonts w:ascii="Bookman Old Style" w:hAnsi="Bookman Old Style" w:cs="Arial"/>
          <w:i/>
          <w:iCs/>
          <w:sz w:val="24"/>
          <w:szCs w:val="24"/>
        </w:rPr>
        <w:t xml:space="preserve">o textos </w:t>
      </w:r>
      <w:r w:rsidR="00917974" w:rsidRPr="00917974">
        <w:rPr>
          <w:rFonts w:ascii="Bookman Old Style" w:hAnsi="Bookman Old Style" w:cs="Arial"/>
          <w:i/>
          <w:iCs/>
          <w:sz w:val="24"/>
          <w:szCs w:val="24"/>
        </w:rPr>
        <w:t xml:space="preserve">confusos, enredados </w:t>
      </w:r>
      <w:r w:rsidRPr="007D6432">
        <w:rPr>
          <w:rFonts w:ascii="Bookman Old Style" w:hAnsi="Bookman Old Style" w:cs="Arial"/>
          <w:i/>
          <w:iCs/>
          <w:sz w:val="24"/>
          <w:szCs w:val="24"/>
        </w:rPr>
        <w:t>e</w:t>
      </w:r>
      <w:r w:rsidR="00917974" w:rsidRPr="00917974">
        <w:rPr>
          <w:rFonts w:ascii="Bookman Old Style" w:hAnsi="Bookman Old Style" w:cs="Arial"/>
          <w:i/>
          <w:iCs/>
          <w:sz w:val="24"/>
          <w:szCs w:val="24"/>
        </w:rPr>
        <w:t xml:space="preserve"> </w:t>
      </w:r>
      <w:r w:rsidR="007D6432" w:rsidRPr="007D6432">
        <w:rPr>
          <w:rFonts w:ascii="Bookman Old Style" w:hAnsi="Bookman Old Style" w:cs="Arial"/>
          <w:i/>
          <w:iCs/>
          <w:sz w:val="24"/>
          <w:szCs w:val="24"/>
        </w:rPr>
        <w:t>inteligibles, que</w:t>
      </w:r>
      <w:r w:rsidR="00917974" w:rsidRPr="00917974">
        <w:rPr>
          <w:rFonts w:ascii="Bookman Old Style" w:hAnsi="Bookman Old Style" w:cs="Arial"/>
          <w:i/>
          <w:iCs/>
          <w:sz w:val="24"/>
          <w:szCs w:val="24"/>
        </w:rPr>
        <w:t xml:space="preserve"> deben ser interpretados en </w:t>
      </w:r>
      <w:r w:rsidR="00917974" w:rsidRPr="00917974">
        <w:rPr>
          <w:rFonts w:ascii="Bookman Old Style" w:hAnsi="Bookman Old Style" w:cs="Arial"/>
          <w:i/>
          <w:iCs/>
          <w:sz w:val="24"/>
          <w:szCs w:val="24"/>
        </w:rPr>
        <w:lastRenderedPageBreak/>
        <w:t>contra de la parte que los redact</w:t>
      </w:r>
      <w:r w:rsidRPr="007D6432">
        <w:rPr>
          <w:rFonts w:ascii="Bookman Old Style" w:hAnsi="Bookman Old Style" w:cs="Arial"/>
          <w:i/>
          <w:iCs/>
          <w:sz w:val="24"/>
          <w:szCs w:val="24"/>
        </w:rPr>
        <w:t>ó</w:t>
      </w:r>
      <w:r w:rsidR="00917974" w:rsidRPr="00917974">
        <w:rPr>
          <w:rFonts w:ascii="Bookman Old Style" w:hAnsi="Bookman Old Style" w:cs="Arial"/>
          <w:i/>
          <w:iCs/>
          <w:sz w:val="24"/>
          <w:szCs w:val="24"/>
        </w:rPr>
        <w:t xml:space="preserve"> y de conformidad con la clase</w:t>
      </w:r>
      <w:r w:rsidRPr="007D6432">
        <w:rPr>
          <w:rFonts w:ascii="Bookman Old Style" w:hAnsi="Bookman Old Style" w:cs="Arial"/>
          <w:i/>
          <w:iCs/>
          <w:sz w:val="24"/>
          <w:szCs w:val="24"/>
        </w:rPr>
        <w:t xml:space="preserve"> </w:t>
      </w:r>
      <w:r w:rsidR="00917974" w:rsidRPr="00917974">
        <w:rPr>
          <w:rFonts w:ascii="Bookman Old Style" w:hAnsi="Bookman Old Style" w:cs="Arial"/>
          <w:i/>
          <w:iCs/>
          <w:sz w:val="24"/>
          <w:szCs w:val="24"/>
        </w:rPr>
        <w:t xml:space="preserve">de </w:t>
      </w:r>
      <w:r w:rsidRPr="007D6432">
        <w:rPr>
          <w:rFonts w:ascii="Bookman Old Style" w:hAnsi="Bookman Old Style" w:cs="Arial"/>
          <w:i/>
          <w:iCs/>
          <w:sz w:val="24"/>
          <w:szCs w:val="24"/>
        </w:rPr>
        <w:t>riesgo</w:t>
      </w:r>
      <w:r w:rsidR="00917974" w:rsidRPr="00917974">
        <w:rPr>
          <w:rFonts w:ascii="Bookman Old Style" w:hAnsi="Bookman Old Style" w:cs="Arial"/>
          <w:i/>
          <w:iCs/>
          <w:sz w:val="24"/>
          <w:szCs w:val="24"/>
        </w:rPr>
        <w:t xml:space="preserve"> </w:t>
      </w:r>
      <w:r w:rsidRPr="007D6432">
        <w:rPr>
          <w:rFonts w:ascii="Bookman Old Style" w:hAnsi="Bookman Old Style" w:cs="Arial"/>
          <w:i/>
          <w:iCs/>
          <w:sz w:val="24"/>
          <w:szCs w:val="24"/>
        </w:rPr>
        <w:t>protegido”.</w:t>
      </w:r>
    </w:p>
    <w:p w14:paraId="0EE4336E" w14:textId="77777777" w:rsidR="0000497C" w:rsidRPr="00917974" w:rsidRDefault="0000497C" w:rsidP="007D6432">
      <w:pPr>
        <w:pStyle w:val="Sinespaciado"/>
        <w:spacing w:line="276" w:lineRule="auto"/>
        <w:ind w:left="709"/>
        <w:jc w:val="both"/>
        <w:rPr>
          <w:rFonts w:ascii="Bookman Old Style" w:hAnsi="Bookman Old Style" w:cs="Arial"/>
          <w:i/>
          <w:iCs/>
          <w:sz w:val="24"/>
          <w:szCs w:val="24"/>
        </w:rPr>
      </w:pPr>
    </w:p>
    <w:p w14:paraId="7DD5AC08" w14:textId="1A0ECA08" w:rsidR="00917974" w:rsidRPr="007D6432" w:rsidRDefault="00917974" w:rsidP="007D6432">
      <w:pPr>
        <w:pStyle w:val="Sinespaciado"/>
        <w:spacing w:line="276" w:lineRule="auto"/>
        <w:ind w:left="709"/>
        <w:jc w:val="both"/>
        <w:rPr>
          <w:rFonts w:ascii="Bookman Old Style" w:hAnsi="Bookman Old Style" w:cs="Courier"/>
          <w:i/>
          <w:iCs/>
          <w:sz w:val="24"/>
          <w:szCs w:val="24"/>
          <w:lang w:eastAsia="es-CO"/>
        </w:rPr>
      </w:pPr>
      <w:r w:rsidRPr="00917974">
        <w:rPr>
          <w:rFonts w:ascii="Bookman Old Style" w:hAnsi="Bookman Old Style" w:cs="Arial"/>
          <w:i/>
          <w:iCs/>
          <w:sz w:val="24"/>
          <w:szCs w:val="24"/>
        </w:rPr>
        <w:t>También en sentencia del 27 de agosto de 2008, la Honorable Corte Suprema, en relación</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a la interpretación a esa clase de convenciones recordó lo </w:t>
      </w:r>
      <w:r w:rsidR="0000497C" w:rsidRPr="007D6432">
        <w:rPr>
          <w:rFonts w:ascii="Bookman Old Style" w:hAnsi="Bookman Old Style" w:cs="Arial"/>
          <w:i/>
          <w:iCs/>
          <w:sz w:val="24"/>
          <w:szCs w:val="24"/>
        </w:rPr>
        <w:t>siguiente</w:t>
      </w:r>
      <w:r w:rsidRPr="00917974">
        <w:rPr>
          <w:rFonts w:ascii="Bookman Old Style" w:hAnsi="Bookman Old Style" w:cs="Arial"/>
          <w:i/>
          <w:iCs/>
          <w:sz w:val="24"/>
          <w:szCs w:val="24"/>
        </w:rPr>
        <w:t xml:space="preserve"> "constituyendo un negocio</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 xml:space="preserve">jurídico por o de adhesión donde de </w:t>
      </w:r>
      <w:r w:rsidR="0000497C" w:rsidRPr="007D6432">
        <w:rPr>
          <w:rFonts w:ascii="Bookman Old Style" w:hAnsi="Bookman Old Style" w:cs="Arial"/>
          <w:i/>
          <w:iCs/>
          <w:sz w:val="24"/>
          <w:szCs w:val="24"/>
        </w:rPr>
        <w:t>ordinario</w:t>
      </w:r>
      <w:r w:rsidRPr="00917974">
        <w:rPr>
          <w:rFonts w:ascii="Bookman Old Style" w:hAnsi="Bookman Old Style" w:cs="Arial"/>
          <w:i/>
          <w:iCs/>
          <w:sz w:val="24"/>
          <w:szCs w:val="24"/>
        </w:rPr>
        <w:t xml:space="preserve"> el contenido esta predispuesto por una de las</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partes, usualmente en sus intereses o tutelas sin ningún o escaso margen relevante de</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negociación ni posibilidad de variación, modificación o discusión por la otra</w:t>
      </w:r>
      <w:r w:rsidR="0000497C" w:rsidRPr="007D6432">
        <w:rPr>
          <w:rFonts w:ascii="Bookman Old Style" w:hAnsi="Bookman Old Style" w:cs="Arial"/>
          <w:i/>
          <w:iCs/>
          <w:sz w:val="24"/>
          <w:szCs w:val="24"/>
        </w:rPr>
        <w:t xml:space="preserve"> </w:t>
      </w:r>
      <w:r w:rsidRPr="00917974">
        <w:rPr>
          <w:rFonts w:ascii="Bookman Old Style" w:hAnsi="Bookman Old Style" w:cs="Arial"/>
          <w:i/>
          <w:iCs/>
          <w:sz w:val="24"/>
          <w:szCs w:val="24"/>
        </w:rPr>
        <w:t>parte</w:t>
      </w:r>
      <w:r w:rsidR="00B94985" w:rsidRPr="007D6432">
        <w:rPr>
          <w:rFonts w:ascii="Bookman Old Style" w:hAnsi="Bookman Old Style" w:cs="Arial"/>
          <w:i/>
          <w:iCs/>
          <w:sz w:val="24"/>
          <w:szCs w:val="24"/>
        </w:rPr>
        <w:t>.</w:t>
      </w:r>
      <w:r w:rsidRPr="00917974">
        <w:rPr>
          <w:rFonts w:ascii="Bookman Old Style" w:hAnsi="Bookman Old Style" w:cs="Arial"/>
          <w:i/>
          <w:iCs/>
          <w:sz w:val="24"/>
          <w:szCs w:val="24"/>
        </w:rPr>
        <w:t xml:space="preserve"> </w:t>
      </w:r>
      <w:r w:rsidR="00B94985" w:rsidRPr="007D6432">
        <w:rPr>
          <w:rFonts w:ascii="Bookman Old Style" w:hAnsi="Bookman Old Style" w:cs="Arial"/>
          <w:i/>
          <w:iCs/>
          <w:sz w:val="24"/>
          <w:szCs w:val="24"/>
        </w:rPr>
        <w:t>A</w:t>
      </w:r>
      <w:r w:rsidRPr="00917974">
        <w:rPr>
          <w:rFonts w:ascii="Bookman Old Style" w:hAnsi="Bookman Old Style" w:cs="Arial"/>
          <w:i/>
          <w:iCs/>
          <w:sz w:val="24"/>
          <w:szCs w:val="24"/>
        </w:rPr>
        <w:t>un cuando</w:t>
      </w:r>
      <w:r w:rsidR="0000497C" w:rsidRPr="007D6432">
        <w:rPr>
          <w:rFonts w:ascii="Bookman Old Style" w:hAnsi="Bookman Old Style" w:cs="Arial"/>
          <w:i/>
          <w:iCs/>
          <w:sz w:val="24"/>
          <w:szCs w:val="24"/>
        </w:rPr>
        <w:t xml:space="preserve"> </w:t>
      </w:r>
      <w:r w:rsidRPr="007D6432">
        <w:rPr>
          <w:rFonts w:ascii="Bookman Old Style" w:hAnsi="Bookman Old Style" w:cs="Arial"/>
          <w:i/>
          <w:iCs/>
          <w:sz w:val="24"/>
          <w:szCs w:val="24"/>
        </w:rPr>
        <w:t xml:space="preserve">susceptible de </w:t>
      </w:r>
      <w:r w:rsidR="0000497C" w:rsidRPr="007D6432">
        <w:rPr>
          <w:rFonts w:ascii="Bookman Old Style" w:hAnsi="Bookman Old Style" w:cs="Arial"/>
          <w:i/>
          <w:iCs/>
          <w:sz w:val="24"/>
          <w:szCs w:val="24"/>
        </w:rPr>
        <w:t>aceptación</w:t>
      </w:r>
      <w:r w:rsidR="00B94985" w:rsidRPr="007D6432">
        <w:rPr>
          <w:rFonts w:ascii="Bookman Old Style" w:hAnsi="Bookman Old Style" w:cs="Arial"/>
          <w:i/>
          <w:iCs/>
          <w:sz w:val="24"/>
          <w:szCs w:val="24"/>
        </w:rPr>
        <w:t>,</w:t>
      </w:r>
      <w:r w:rsidRPr="007D6432">
        <w:rPr>
          <w:rFonts w:ascii="Bookman Old Style" w:hAnsi="Bookman Old Style" w:cs="Arial"/>
          <w:i/>
          <w:iCs/>
          <w:sz w:val="24"/>
          <w:szCs w:val="24"/>
        </w:rPr>
        <w:t xml:space="preserve"> no por ello su contenido es ilícito, </w:t>
      </w:r>
      <w:r w:rsidR="00B94985" w:rsidRPr="007D6432">
        <w:rPr>
          <w:rFonts w:ascii="Bookman Old Style" w:hAnsi="Bookman Old Style" w:cs="Arial"/>
          <w:i/>
          <w:iCs/>
          <w:sz w:val="24"/>
          <w:szCs w:val="24"/>
        </w:rPr>
        <w:t>vejatorio</w:t>
      </w:r>
      <w:r w:rsidRPr="007D6432">
        <w:rPr>
          <w:rFonts w:ascii="Bookman Old Style" w:hAnsi="Bookman Old Style" w:cs="Arial"/>
          <w:i/>
          <w:iCs/>
          <w:sz w:val="24"/>
          <w:szCs w:val="24"/>
        </w:rPr>
        <w:t xml:space="preserve"> o abusivo pese</w:t>
      </w:r>
      <w:r w:rsidR="00B94985" w:rsidRPr="007D6432">
        <w:rPr>
          <w:rFonts w:ascii="Bookman Old Style" w:hAnsi="Bookman Old Style" w:cs="Arial"/>
          <w:i/>
          <w:iCs/>
          <w:sz w:val="24"/>
          <w:szCs w:val="24"/>
        </w:rPr>
        <w:t>,</w:t>
      </w:r>
      <w:r w:rsidRPr="007D6432">
        <w:rPr>
          <w:rFonts w:ascii="Bookman Old Style" w:hAnsi="Bookman Old Style" w:cs="Arial"/>
          <w:i/>
          <w:iCs/>
          <w:sz w:val="24"/>
          <w:szCs w:val="24"/>
        </w:rPr>
        <w:t xml:space="preserve"> ni el valor</w:t>
      </w:r>
      <w:r w:rsidR="00B94985" w:rsidRPr="007D6432">
        <w:rPr>
          <w:rFonts w:ascii="Bookman Old Style" w:hAnsi="Bookman Old Style" w:cs="Arial"/>
          <w:i/>
          <w:iCs/>
          <w:sz w:val="24"/>
          <w:szCs w:val="24"/>
        </w:rPr>
        <w:t xml:space="preserve"> </w:t>
      </w:r>
      <w:r w:rsidR="007D6432" w:rsidRPr="007D6432">
        <w:rPr>
          <w:rFonts w:ascii="Bookman Old Style" w:hAnsi="Bookman Old Style" w:cs="Courier"/>
          <w:i/>
          <w:iCs/>
          <w:sz w:val="24"/>
          <w:szCs w:val="24"/>
          <w:lang w:eastAsia="es-CO"/>
        </w:rPr>
        <w:t>pro-adherente</w:t>
      </w:r>
      <w:r w:rsidRPr="007D6432">
        <w:rPr>
          <w:rFonts w:ascii="Bookman Old Style" w:hAnsi="Bookman Old Style" w:cs="Courier"/>
          <w:i/>
          <w:iCs/>
          <w:sz w:val="24"/>
          <w:szCs w:val="24"/>
          <w:lang w:eastAsia="es-CO"/>
        </w:rPr>
        <w:t xml:space="preserve"> e </w:t>
      </w:r>
      <w:r w:rsidR="00B94985" w:rsidRPr="007D6432">
        <w:rPr>
          <w:rFonts w:ascii="Bookman Old Style" w:hAnsi="Bookman Old Style" w:cs="Courier"/>
          <w:i/>
          <w:iCs/>
          <w:sz w:val="24"/>
          <w:szCs w:val="24"/>
          <w:lang w:eastAsia="es-CO"/>
        </w:rPr>
        <w:t xml:space="preserve">interpretativo, contra </w:t>
      </w:r>
      <w:proofErr w:type="spellStart"/>
      <w:r w:rsidR="00B94985" w:rsidRPr="007D6432">
        <w:rPr>
          <w:rFonts w:ascii="Bookman Old Style" w:hAnsi="Bookman Old Style" w:cs="Courier"/>
          <w:i/>
          <w:iCs/>
          <w:sz w:val="24"/>
          <w:szCs w:val="24"/>
          <w:lang w:eastAsia="es-CO"/>
        </w:rPr>
        <w:t>estipulatorem</w:t>
      </w:r>
      <w:proofErr w:type="spellEnd"/>
      <w:r w:rsidR="00B94985" w:rsidRPr="007D6432">
        <w:rPr>
          <w:rFonts w:ascii="Bookman Old Style" w:hAnsi="Bookman Old Style" w:cs="Courier"/>
          <w:i/>
          <w:iCs/>
          <w:sz w:val="24"/>
          <w:szCs w:val="24"/>
          <w:lang w:eastAsia="es-CO"/>
        </w:rPr>
        <w:t xml:space="preserve">, contra </w:t>
      </w:r>
      <w:proofErr w:type="spellStart"/>
      <w:r w:rsidR="00B94985" w:rsidRPr="007D6432">
        <w:rPr>
          <w:rFonts w:ascii="Bookman Old Style" w:hAnsi="Bookman Old Style" w:cs="Courier"/>
          <w:i/>
          <w:iCs/>
          <w:sz w:val="24"/>
          <w:szCs w:val="24"/>
          <w:lang w:eastAsia="es-CO"/>
        </w:rPr>
        <w:t>preferentem</w:t>
      </w:r>
      <w:proofErr w:type="spellEnd"/>
      <w:r w:rsidR="00B94985" w:rsidRPr="007D6432">
        <w:rPr>
          <w:rFonts w:ascii="Bookman Old Style" w:hAnsi="Bookman Old Style" w:cs="Courier"/>
          <w:i/>
          <w:iCs/>
          <w:sz w:val="24"/>
          <w:szCs w:val="24"/>
          <w:lang w:eastAsia="es-CO"/>
        </w:rPr>
        <w:t>, actúa de suyo</w:t>
      </w:r>
      <w:r w:rsidRPr="007D6432">
        <w:rPr>
          <w:rFonts w:ascii="Bookman Old Style" w:hAnsi="Bookman Old Style" w:cs="Courier"/>
          <w:i/>
          <w:iCs/>
          <w:sz w:val="24"/>
          <w:szCs w:val="24"/>
          <w:lang w:eastAsia="es-CO"/>
        </w:rPr>
        <w:t xml:space="preserve"> ante la</w:t>
      </w:r>
      <w:r w:rsidR="00B94985" w:rsidRPr="007D6432">
        <w:rPr>
          <w:rFonts w:ascii="Bookman Old Style" w:hAnsi="Bookman Old Style" w:cs="Courier"/>
          <w:i/>
          <w:iCs/>
          <w:sz w:val="24"/>
          <w:szCs w:val="24"/>
          <w:lang w:eastAsia="es-CO"/>
        </w:rPr>
        <w:t xml:space="preserve"> presencia de cláusulas predispuestas</w:t>
      </w:r>
      <w:r w:rsidRPr="007D6432">
        <w:rPr>
          <w:rFonts w:ascii="Bookman Old Style" w:hAnsi="Bookman Old Style" w:cs="Courier"/>
          <w:i/>
          <w:iCs/>
          <w:sz w:val="24"/>
          <w:szCs w:val="24"/>
          <w:lang w:eastAsia="es-CO"/>
        </w:rPr>
        <w:t xml:space="preserve">, sino </w:t>
      </w:r>
      <w:r w:rsidR="00B94985" w:rsidRPr="007D6432">
        <w:rPr>
          <w:rFonts w:ascii="Bookman Old Style" w:hAnsi="Bookman Old Style" w:cs="Courier"/>
          <w:i/>
          <w:iCs/>
          <w:sz w:val="24"/>
          <w:szCs w:val="24"/>
          <w:lang w:eastAsia="es-CO"/>
        </w:rPr>
        <w:t>en presencia</w:t>
      </w:r>
      <w:r w:rsidRPr="007D6432">
        <w:rPr>
          <w:rFonts w:ascii="Bookman Old Style" w:hAnsi="Bookman Old Style" w:cs="Courier"/>
          <w:i/>
          <w:iCs/>
          <w:sz w:val="24"/>
          <w:szCs w:val="24"/>
          <w:lang w:eastAsia="es-CO"/>
        </w:rPr>
        <w:t xml:space="preserve"> de textos ambiguos</w:t>
      </w:r>
      <w:r w:rsidR="00B94985" w:rsidRPr="007D6432">
        <w:rPr>
          <w:rFonts w:ascii="Bookman Old Style" w:hAnsi="Bookman Old Style" w:cs="Courier"/>
          <w:i/>
          <w:iCs/>
          <w:sz w:val="24"/>
          <w:szCs w:val="24"/>
          <w:lang w:eastAsia="es-CO"/>
        </w:rPr>
        <w:t xml:space="preserve"> u</w:t>
      </w:r>
      <w:r w:rsidRPr="007D6432">
        <w:rPr>
          <w:rFonts w:ascii="Bookman Old Style" w:hAnsi="Bookman Old Style" w:cs="Courier"/>
          <w:i/>
          <w:iCs/>
          <w:sz w:val="24"/>
          <w:szCs w:val="24"/>
          <w:lang w:eastAsia="es-CO"/>
        </w:rPr>
        <w:t xml:space="preserve"> oscuros, faltos d</w:t>
      </w:r>
      <w:r w:rsidR="00B94985" w:rsidRPr="007D6432">
        <w:rPr>
          <w:rFonts w:ascii="Bookman Old Style" w:hAnsi="Bookman Old Style" w:cs="Courier"/>
          <w:i/>
          <w:iCs/>
          <w:sz w:val="24"/>
          <w:szCs w:val="24"/>
          <w:lang w:eastAsia="es-CO"/>
        </w:rPr>
        <w:t xml:space="preserve">e </w:t>
      </w:r>
      <w:r w:rsidRPr="007D6432">
        <w:rPr>
          <w:rFonts w:ascii="Bookman Old Style" w:hAnsi="Bookman Old Style" w:cs="Courier"/>
          <w:i/>
          <w:iCs/>
          <w:sz w:val="24"/>
          <w:szCs w:val="24"/>
          <w:lang w:eastAsia="es-CO"/>
        </w:rPr>
        <w:t>precisión</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y claridad</w:t>
      </w:r>
      <w:r w:rsidR="00B94985"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en cuyo caso toda oscuridad, contradicción o ambivalencia, se interpreta</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en cont</w:t>
      </w:r>
      <w:r w:rsidR="00B94985" w:rsidRPr="007D6432">
        <w:rPr>
          <w:rFonts w:ascii="Bookman Old Style" w:hAnsi="Bookman Old Style" w:cs="Courier"/>
          <w:i/>
          <w:iCs/>
          <w:sz w:val="24"/>
          <w:szCs w:val="24"/>
          <w:lang w:eastAsia="es-CO"/>
        </w:rPr>
        <w:t>r</w:t>
      </w:r>
      <w:r w:rsidRPr="007D6432">
        <w:rPr>
          <w:rFonts w:ascii="Bookman Old Style" w:hAnsi="Bookman Old Style" w:cs="Courier"/>
          <w:i/>
          <w:iCs/>
          <w:sz w:val="24"/>
          <w:szCs w:val="24"/>
          <w:lang w:eastAsia="es-CO"/>
        </w:rPr>
        <w:t>a de quien la redact</w:t>
      </w:r>
      <w:r w:rsidR="00B94985" w:rsidRPr="007D6432">
        <w:rPr>
          <w:rFonts w:ascii="Bookman Old Style" w:hAnsi="Bookman Old Style" w:cs="Courier"/>
          <w:i/>
          <w:iCs/>
          <w:sz w:val="24"/>
          <w:szCs w:val="24"/>
          <w:lang w:eastAsia="es-CO"/>
        </w:rPr>
        <w:t>ó</w:t>
      </w:r>
      <w:r w:rsidRPr="007D6432">
        <w:rPr>
          <w:rFonts w:ascii="Bookman Old Style" w:hAnsi="Bookman Old Style" w:cs="Courier"/>
          <w:i/>
          <w:iCs/>
          <w:sz w:val="24"/>
          <w:szCs w:val="24"/>
          <w:lang w:eastAsia="es-CO"/>
        </w:rPr>
        <w:t xml:space="preserve"> y </w:t>
      </w:r>
      <w:r w:rsidR="00B94985" w:rsidRPr="007D6432">
        <w:rPr>
          <w:rFonts w:ascii="Bookman Old Style" w:hAnsi="Bookman Old Style" w:cs="Courier"/>
          <w:i/>
          <w:iCs/>
          <w:sz w:val="24"/>
          <w:szCs w:val="24"/>
          <w:lang w:eastAsia="es-CO"/>
        </w:rPr>
        <w:t xml:space="preserve">en </w:t>
      </w:r>
      <w:r w:rsidRPr="007D6432">
        <w:rPr>
          <w:rFonts w:ascii="Bookman Old Style" w:hAnsi="Bookman Old Style" w:cs="Courier"/>
          <w:i/>
          <w:iCs/>
          <w:sz w:val="24"/>
          <w:szCs w:val="24"/>
          <w:lang w:eastAsia="es-CO"/>
        </w:rPr>
        <w:t>favor de quien las acepto"</w:t>
      </w:r>
      <w:r w:rsidR="00B94985" w:rsidRPr="007D6432">
        <w:rPr>
          <w:rFonts w:ascii="Bookman Old Style" w:hAnsi="Bookman Old Style" w:cs="Courier"/>
          <w:i/>
          <w:iCs/>
          <w:sz w:val="24"/>
          <w:szCs w:val="24"/>
          <w:lang w:eastAsia="es-CO"/>
        </w:rPr>
        <w:t>.</w:t>
      </w:r>
    </w:p>
    <w:p w14:paraId="47A41CED" w14:textId="77777777" w:rsidR="00B94985" w:rsidRPr="007D6432" w:rsidRDefault="00B94985" w:rsidP="007D6432">
      <w:pPr>
        <w:pStyle w:val="Sinespaciado"/>
        <w:spacing w:line="276" w:lineRule="auto"/>
        <w:ind w:left="709"/>
        <w:jc w:val="both"/>
        <w:rPr>
          <w:rFonts w:ascii="Bookman Old Style" w:hAnsi="Bookman Old Style" w:cs="Arial"/>
          <w:i/>
          <w:iCs/>
          <w:sz w:val="24"/>
          <w:szCs w:val="24"/>
        </w:rPr>
      </w:pPr>
    </w:p>
    <w:p w14:paraId="1692D942" w14:textId="42C0861F" w:rsidR="00917974" w:rsidRPr="007D6432" w:rsidRDefault="00917974" w:rsidP="007D6432">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De ot</w:t>
      </w:r>
      <w:r w:rsidR="00B94985" w:rsidRPr="007D6432">
        <w:rPr>
          <w:rFonts w:ascii="Bookman Old Style" w:hAnsi="Bookman Old Style" w:cs="Courier"/>
          <w:i/>
          <w:iCs/>
          <w:sz w:val="24"/>
          <w:szCs w:val="24"/>
          <w:lang w:eastAsia="es-CO"/>
        </w:rPr>
        <w:t>r</w:t>
      </w:r>
      <w:r w:rsidRPr="007D6432">
        <w:rPr>
          <w:rFonts w:ascii="Bookman Old Style" w:hAnsi="Bookman Old Style" w:cs="Courier"/>
          <w:i/>
          <w:iCs/>
          <w:sz w:val="24"/>
          <w:szCs w:val="24"/>
          <w:lang w:eastAsia="es-CO"/>
        </w:rPr>
        <w:t xml:space="preserve">o lado, la Corte Constitucional, también ha indicado </w:t>
      </w:r>
      <w:r w:rsidR="00B94985" w:rsidRPr="007D6432">
        <w:rPr>
          <w:rFonts w:ascii="Bookman Old Style" w:hAnsi="Bookman Old Style" w:cs="Courier"/>
          <w:i/>
          <w:iCs/>
          <w:sz w:val="24"/>
          <w:szCs w:val="24"/>
          <w:lang w:eastAsia="es-CO"/>
        </w:rPr>
        <w:t>el principio</w:t>
      </w:r>
      <w:r w:rsidRPr="007D6432">
        <w:rPr>
          <w:rFonts w:ascii="Bookman Old Style" w:hAnsi="Bookman Old Style" w:cs="Courier"/>
          <w:i/>
          <w:iCs/>
          <w:sz w:val="24"/>
          <w:szCs w:val="24"/>
          <w:lang w:eastAsia="es-CO"/>
        </w:rPr>
        <w:t xml:space="preserve"> de la buena</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fe que</w:t>
      </w:r>
      <w:r w:rsidR="00B94985" w:rsidRPr="007D6432">
        <w:rPr>
          <w:rFonts w:ascii="Bookman Old Style" w:hAnsi="Bookman Old Style" w:cs="Courier"/>
          <w:i/>
          <w:iCs/>
          <w:sz w:val="24"/>
          <w:szCs w:val="24"/>
          <w:lang w:eastAsia="es-CO"/>
        </w:rPr>
        <w:t xml:space="preserve"> igualmente </w:t>
      </w:r>
      <w:r w:rsidRPr="007D6432">
        <w:rPr>
          <w:rFonts w:ascii="Bookman Old Style" w:hAnsi="Bookman Old Style" w:cs="Courier"/>
          <w:i/>
          <w:iCs/>
          <w:sz w:val="24"/>
          <w:szCs w:val="24"/>
          <w:lang w:eastAsia="es-CO"/>
        </w:rPr>
        <w:t>a las relaciones contractuales sob</w:t>
      </w:r>
      <w:r w:rsidR="00B94985" w:rsidRPr="007D6432">
        <w:rPr>
          <w:rFonts w:ascii="Bookman Old Style" w:hAnsi="Bookman Old Style" w:cs="Courier"/>
          <w:i/>
          <w:iCs/>
          <w:sz w:val="24"/>
          <w:szCs w:val="24"/>
          <w:lang w:eastAsia="es-CO"/>
        </w:rPr>
        <w:t>r</w:t>
      </w:r>
      <w:r w:rsidRPr="007D6432">
        <w:rPr>
          <w:rFonts w:ascii="Bookman Old Style" w:hAnsi="Bookman Old Style" w:cs="Courier"/>
          <w:i/>
          <w:iCs/>
          <w:sz w:val="24"/>
          <w:szCs w:val="24"/>
          <w:lang w:eastAsia="es-CO"/>
        </w:rPr>
        <w:t xml:space="preserve">e las cuales se desenvuelven los </w:t>
      </w:r>
      <w:r w:rsidR="00B94985" w:rsidRPr="007D6432">
        <w:rPr>
          <w:rFonts w:ascii="Bookman Old Style" w:hAnsi="Bookman Old Style" w:cs="Courier"/>
          <w:i/>
          <w:iCs/>
          <w:sz w:val="24"/>
          <w:szCs w:val="24"/>
          <w:lang w:eastAsia="es-CO"/>
        </w:rPr>
        <w:t>contratos</w:t>
      </w:r>
      <w:r w:rsidRPr="007D6432">
        <w:rPr>
          <w:rFonts w:ascii="Bookman Old Style" w:hAnsi="Bookman Old Style" w:cs="Courier"/>
          <w:i/>
          <w:iCs/>
          <w:sz w:val="24"/>
          <w:szCs w:val="24"/>
          <w:lang w:eastAsia="es-CO"/>
        </w:rPr>
        <w:t xml:space="preserve"> de</w:t>
      </w:r>
      <w:r w:rsidR="00B94985" w:rsidRPr="007D6432">
        <w:rPr>
          <w:rFonts w:ascii="Bookman Old Style" w:hAnsi="Bookman Old Style" w:cs="Courier"/>
          <w:i/>
          <w:iCs/>
          <w:sz w:val="24"/>
          <w:szCs w:val="24"/>
          <w:lang w:eastAsia="es-CO"/>
        </w:rPr>
        <w:t xml:space="preserve"> seguro</w:t>
      </w:r>
      <w:r w:rsidRPr="007D6432">
        <w:rPr>
          <w:rFonts w:ascii="Bookman Old Style" w:hAnsi="Bookman Old Style" w:cs="Courier"/>
          <w:i/>
          <w:iCs/>
          <w:sz w:val="24"/>
          <w:szCs w:val="24"/>
          <w:lang w:eastAsia="es-CO"/>
        </w:rPr>
        <w:t>, en los que las</w:t>
      </w:r>
      <w:r w:rsidR="00B94985" w:rsidRPr="007D6432">
        <w:rPr>
          <w:rFonts w:ascii="Bookman Old Style" w:hAnsi="Bookman Old Style" w:cs="Courier"/>
          <w:i/>
          <w:iCs/>
          <w:sz w:val="24"/>
          <w:szCs w:val="24"/>
          <w:lang w:eastAsia="es-CO"/>
        </w:rPr>
        <w:t xml:space="preserve"> compañías</w:t>
      </w:r>
      <w:r w:rsidRPr="007D6432">
        <w:rPr>
          <w:rFonts w:ascii="Bookman Old Style" w:hAnsi="Bookman Old Style" w:cs="Courier"/>
          <w:i/>
          <w:iCs/>
          <w:sz w:val="24"/>
          <w:szCs w:val="24"/>
          <w:lang w:eastAsia="es-CO"/>
        </w:rPr>
        <w:t xml:space="preserve"> se ubican en una posición dominante por ser la </w:t>
      </w:r>
      <w:r w:rsidR="00B94985" w:rsidRPr="007D6432">
        <w:rPr>
          <w:rFonts w:ascii="Bookman Old Style" w:hAnsi="Bookman Old Style" w:cs="Courier"/>
          <w:i/>
          <w:iCs/>
          <w:sz w:val="24"/>
          <w:szCs w:val="24"/>
          <w:lang w:eastAsia="es-CO"/>
        </w:rPr>
        <w:t>parte</w:t>
      </w:r>
      <w:r w:rsidRPr="007D6432">
        <w:rPr>
          <w:rFonts w:ascii="Bookman Old Style" w:hAnsi="Bookman Old Style" w:cs="Courier"/>
          <w:i/>
          <w:iCs/>
          <w:sz w:val="24"/>
          <w:szCs w:val="24"/>
          <w:lang w:eastAsia="es-CO"/>
        </w:rPr>
        <w:t xml:space="preserve"> que</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redacta las condiciones del convenio que debe cumplir uno de los requisitos mínimos a la hora</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de su </w:t>
      </w:r>
      <w:r w:rsidR="00B94985" w:rsidRPr="007D6432">
        <w:rPr>
          <w:rFonts w:ascii="Bookman Old Style" w:hAnsi="Bookman Old Style" w:cs="Courier"/>
          <w:i/>
          <w:iCs/>
          <w:sz w:val="24"/>
          <w:szCs w:val="24"/>
          <w:lang w:eastAsia="es-CO"/>
        </w:rPr>
        <w:t xml:space="preserve">estructuración. </w:t>
      </w:r>
    </w:p>
    <w:p w14:paraId="61749355" w14:textId="77777777" w:rsidR="00B94985" w:rsidRPr="007D6432" w:rsidRDefault="00B94985" w:rsidP="007D6432">
      <w:pPr>
        <w:autoSpaceDE w:val="0"/>
        <w:autoSpaceDN w:val="0"/>
        <w:adjustRightInd w:val="0"/>
        <w:spacing w:after="0"/>
        <w:ind w:left="709"/>
        <w:rPr>
          <w:rFonts w:ascii="Bookman Old Style" w:hAnsi="Bookman Old Style" w:cs="Courier"/>
          <w:i/>
          <w:iCs/>
          <w:sz w:val="24"/>
          <w:szCs w:val="24"/>
          <w:lang w:eastAsia="es-CO"/>
        </w:rPr>
      </w:pPr>
    </w:p>
    <w:p w14:paraId="0D0A6E90" w14:textId="5A2ADCA4" w:rsidR="007D798C" w:rsidRPr="007D6432" w:rsidRDefault="00917974" w:rsidP="007D6432">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De otro lado</w:t>
      </w:r>
      <w:r w:rsidR="00B94985"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es </w:t>
      </w:r>
      <w:r w:rsidR="00B94985" w:rsidRPr="007D6432">
        <w:rPr>
          <w:rFonts w:ascii="Bookman Old Style" w:hAnsi="Bookman Old Style" w:cs="Courier"/>
          <w:i/>
          <w:iCs/>
          <w:sz w:val="24"/>
          <w:szCs w:val="24"/>
          <w:lang w:eastAsia="es-CO"/>
        </w:rPr>
        <w:t>pertinente</w:t>
      </w:r>
      <w:r w:rsidRPr="007D6432">
        <w:rPr>
          <w:rFonts w:ascii="Bookman Old Style" w:hAnsi="Bookman Old Style" w:cs="Courier"/>
          <w:i/>
          <w:iCs/>
          <w:sz w:val="24"/>
          <w:szCs w:val="24"/>
          <w:lang w:eastAsia="es-CO"/>
        </w:rPr>
        <w:t xml:space="preserve"> también </w:t>
      </w:r>
      <w:r w:rsidR="00B94985" w:rsidRPr="007D6432">
        <w:rPr>
          <w:rFonts w:ascii="Bookman Old Style" w:hAnsi="Bookman Old Style" w:cs="Courier"/>
          <w:i/>
          <w:iCs/>
          <w:sz w:val="24"/>
          <w:szCs w:val="24"/>
          <w:lang w:eastAsia="es-CO"/>
        </w:rPr>
        <w:t>destacar</w:t>
      </w:r>
      <w:r w:rsidRPr="007D6432">
        <w:rPr>
          <w:rFonts w:ascii="Bookman Old Style" w:hAnsi="Bookman Old Style" w:cs="Courier"/>
          <w:i/>
          <w:iCs/>
          <w:sz w:val="24"/>
          <w:szCs w:val="24"/>
          <w:lang w:eastAsia="es-CO"/>
        </w:rPr>
        <w:t xml:space="preserve"> que no puede tomarse como prueba lo que las</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partes declaran en su</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favor, todo a partir del deber que </w:t>
      </w:r>
      <w:r w:rsidR="00B94985" w:rsidRPr="007D6432">
        <w:rPr>
          <w:rFonts w:ascii="Bookman Old Style" w:hAnsi="Bookman Old Style" w:cs="Courier"/>
          <w:i/>
          <w:iCs/>
          <w:sz w:val="24"/>
          <w:szCs w:val="24"/>
          <w:lang w:eastAsia="es-CO"/>
        </w:rPr>
        <w:t>gravita</w:t>
      </w:r>
      <w:r w:rsidRPr="007D6432">
        <w:rPr>
          <w:rFonts w:ascii="Bookman Old Style" w:hAnsi="Bookman Old Style" w:cs="Courier"/>
          <w:i/>
          <w:iCs/>
          <w:sz w:val="24"/>
          <w:szCs w:val="24"/>
          <w:lang w:eastAsia="es-CO"/>
        </w:rPr>
        <w:t xml:space="preserve"> sobre aquellas de asumir la</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carga de probar, para</w:t>
      </w:r>
      <w:r w:rsidR="005A5531"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as</w:t>
      </w:r>
      <w:r w:rsidR="00B94985" w:rsidRPr="007D6432">
        <w:rPr>
          <w:rFonts w:ascii="Bookman Old Style" w:hAnsi="Bookman Old Style" w:cs="Courier"/>
          <w:i/>
          <w:iCs/>
          <w:sz w:val="24"/>
          <w:szCs w:val="24"/>
          <w:lang w:eastAsia="es-CO"/>
        </w:rPr>
        <w:t>í</w:t>
      </w:r>
      <w:r w:rsidRPr="007D6432">
        <w:rPr>
          <w:rFonts w:ascii="Bookman Old Style" w:hAnsi="Bookman Old Style" w:cs="Courier"/>
          <w:i/>
          <w:iCs/>
          <w:sz w:val="24"/>
          <w:szCs w:val="24"/>
          <w:lang w:eastAsia="es-CO"/>
        </w:rPr>
        <w:t xml:space="preserve"> </w:t>
      </w:r>
      <w:r w:rsidR="00B94985" w:rsidRPr="007D6432">
        <w:rPr>
          <w:rFonts w:ascii="Bookman Old Style" w:hAnsi="Bookman Old Style" w:cs="Courier"/>
          <w:i/>
          <w:iCs/>
          <w:sz w:val="24"/>
          <w:szCs w:val="24"/>
          <w:lang w:eastAsia="es-CO"/>
        </w:rPr>
        <w:t>evitar</w:t>
      </w:r>
      <w:r w:rsidRPr="007D6432">
        <w:rPr>
          <w:rFonts w:ascii="Bookman Old Style" w:hAnsi="Bookman Old Style" w:cs="Courier"/>
          <w:i/>
          <w:iCs/>
          <w:sz w:val="24"/>
          <w:szCs w:val="24"/>
          <w:lang w:eastAsia="es-CO"/>
        </w:rPr>
        <w:t xml:space="preserve"> que el proceso se convierta en un </w:t>
      </w:r>
      <w:r w:rsidR="00B94985" w:rsidRPr="007D6432">
        <w:rPr>
          <w:rFonts w:ascii="Bookman Old Style" w:hAnsi="Bookman Old Style" w:cs="Courier"/>
          <w:i/>
          <w:iCs/>
          <w:sz w:val="24"/>
          <w:szCs w:val="24"/>
          <w:lang w:eastAsia="es-CO"/>
        </w:rPr>
        <w:t>espacio</w:t>
      </w:r>
      <w:r w:rsidRPr="007D6432">
        <w:rPr>
          <w:rFonts w:ascii="Bookman Old Style" w:hAnsi="Bookman Old Style" w:cs="Courier"/>
          <w:i/>
          <w:iCs/>
          <w:sz w:val="24"/>
          <w:szCs w:val="24"/>
          <w:lang w:eastAsia="es-CO"/>
        </w:rPr>
        <w:t xml:space="preserve"> de encuentro para</w:t>
      </w:r>
      <w:r w:rsidR="005A5531"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simples versiones y no como debe ser, el escenario para despejar las </w:t>
      </w:r>
      <w:r w:rsidR="00B94985" w:rsidRPr="007D6432">
        <w:rPr>
          <w:rFonts w:ascii="Bookman Old Style" w:hAnsi="Bookman Old Style" w:cs="Courier"/>
          <w:i/>
          <w:iCs/>
          <w:sz w:val="24"/>
          <w:szCs w:val="24"/>
          <w:lang w:eastAsia="es-CO"/>
        </w:rPr>
        <w:t>incertidumbres</w:t>
      </w:r>
      <w:r w:rsidRPr="007D6432">
        <w:rPr>
          <w:rFonts w:ascii="Bookman Old Style" w:hAnsi="Bookman Old Style" w:cs="Courier"/>
          <w:i/>
          <w:iCs/>
          <w:sz w:val="24"/>
          <w:szCs w:val="24"/>
          <w:lang w:eastAsia="es-CO"/>
        </w:rPr>
        <w:t xml:space="preserve"> en los</w:t>
      </w:r>
      <w:r w:rsidR="00B94985"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elementos deconstructivos del pasado que sean igualmente admisibles, máxime si estos se</w:t>
      </w:r>
      <w:r w:rsidR="005A5531"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encuentran en posibilidad de ser acopiados</w:t>
      </w:r>
      <w:r w:rsidR="00B94985" w:rsidRPr="007D6432">
        <w:rPr>
          <w:rFonts w:ascii="Bookman Old Style" w:hAnsi="Bookman Old Style" w:cs="Courier"/>
          <w:i/>
          <w:iCs/>
          <w:sz w:val="24"/>
          <w:szCs w:val="24"/>
          <w:lang w:eastAsia="es-CO"/>
        </w:rPr>
        <w:t>.</w:t>
      </w:r>
    </w:p>
    <w:p w14:paraId="48A00A5B" w14:textId="77777777" w:rsidR="005A5531" w:rsidRPr="007D6432" w:rsidRDefault="005A5531" w:rsidP="007D6432">
      <w:pPr>
        <w:autoSpaceDE w:val="0"/>
        <w:autoSpaceDN w:val="0"/>
        <w:adjustRightInd w:val="0"/>
        <w:spacing w:after="0"/>
        <w:ind w:left="709"/>
        <w:rPr>
          <w:rFonts w:ascii="Bookman Old Style" w:hAnsi="Bookman Old Style" w:cs="Courier"/>
          <w:i/>
          <w:iCs/>
          <w:sz w:val="24"/>
          <w:szCs w:val="24"/>
          <w:lang w:eastAsia="es-CO"/>
        </w:rPr>
      </w:pPr>
    </w:p>
    <w:p w14:paraId="319304C9" w14:textId="3E6D39E1" w:rsidR="00917974" w:rsidRPr="007D6432" w:rsidRDefault="00917974" w:rsidP="007D6432">
      <w:pPr>
        <w:autoSpaceDE w:val="0"/>
        <w:autoSpaceDN w:val="0"/>
        <w:adjustRightInd w:val="0"/>
        <w:spacing w:after="0"/>
        <w:ind w:left="709"/>
        <w:jc w:val="both"/>
        <w:rPr>
          <w:rFonts w:ascii="Bookman Old Style" w:hAnsi="Bookman Old Style" w:cs="Courier"/>
          <w:b/>
          <w:bCs/>
          <w:i/>
          <w:iCs/>
          <w:sz w:val="24"/>
          <w:szCs w:val="24"/>
          <w:lang w:eastAsia="es-CO"/>
        </w:rPr>
      </w:pPr>
      <w:r w:rsidRPr="007D6432">
        <w:rPr>
          <w:rFonts w:ascii="Bookman Old Style" w:hAnsi="Bookman Old Style" w:cs="Courier"/>
          <w:i/>
          <w:iCs/>
          <w:sz w:val="24"/>
          <w:szCs w:val="24"/>
          <w:lang w:eastAsia="es-CO"/>
        </w:rPr>
        <w:t>Todo lo anterior en aras de que</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fue omitido por </w:t>
      </w:r>
      <w:r w:rsidR="00A633DE" w:rsidRPr="007D6432">
        <w:rPr>
          <w:rFonts w:ascii="Bookman Old Style" w:hAnsi="Bookman Old Style" w:cs="Courier"/>
          <w:i/>
          <w:iCs/>
          <w:sz w:val="24"/>
          <w:szCs w:val="24"/>
          <w:lang w:eastAsia="es-CO"/>
        </w:rPr>
        <w:t>el juez</w:t>
      </w:r>
      <w:r w:rsidRPr="007D6432">
        <w:rPr>
          <w:rFonts w:ascii="Bookman Old Style" w:hAnsi="Bookman Old Style" w:cs="Courier"/>
          <w:i/>
          <w:iCs/>
          <w:sz w:val="24"/>
          <w:szCs w:val="24"/>
          <w:lang w:eastAsia="es-CO"/>
        </w:rPr>
        <w:t xml:space="preserve"> de primera instan</w:t>
      </w:r>
      <w:r w:rsidR="00A633DE" w:rsidRPr="007D6432">
        <w:rPr>
          <w:rFonts w:ascii="Bookman Old Style" w:hAnsi="Bookman Old Style" w:cs="Courier"/>
          <w:i/>
          <w:iCs/>
          <w:sz w:val="24"/>
          <w:szCs w:val="24"/>
          <w:lang w:eastAsia="es-CO"/>
        </w:rPr>
        <w:t>ci</w:t>
      </w:r>
      <w:r w:rsidRPr="007D6432">
        <w:rPr>
          <w:rFonts w:ascii="Bookman Old Style" w:hAnsi="Bookman Old Style" w:cs="Courier"/>
          <w:i/>
          <w:iCs/>
          <w:sz w:val="24"/>
          <w:szCs w:val="24"/>
          <w:lang w:eastAsia="es-CO"/>
        </w:rPr>
        <w:t>a al momento de</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adoptar la decisión objeto de al</w:t>
      </w:r>
      <w:r w:rsidR="00A633DE" w:rsidRPr="007D6432">
        <w:rPr>
          <w:rFonts w:ascii="Bookman Old Style" w:hAnsi="Bookman Old Style" w:cs="Courier"/>
          <w:i/>
          <w:iCs/>
          <w:sz w:val="24"/>
          <w:szCs w:val="24"/>
          <w:lang w:eastAsia="es-CO"/>
        </w:rPr>
        <w:t>z</w:t>
      </w:r>
      <w:r w:rsidRPr="007D6432">
        <w:rPr>
          <w:rFonts w:ascii="Bookman Old Style" w:hAnsi="Bookman Old Style" w:cs="Courier"/>
          <w:i/>
          <w:iCs/>
          <w:sz w:val="24"/>
          <w:szCs w:val="24"/>
          <w:lang w:eastAsia="es-CO"/>
        </w:rPr>
        <w:t>ada en</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virtud del</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principio de legalidad</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previsto en el </w:t>
      </w:r>
      <w:r w:rsidR="00A633DE" w:rsidRPr="007D6432">
        <w:rPr>
          <w:rFonts w:ascii="Bookman Old Style" w:hAnsi="Bookman Old Style" w:cs="Courier"/>
          <w:i/>
          <w:iCs/>
          <w:sz w:val="24"/>
          <w:szCs w:val="24"/>
          <w:lang w:eastAsia="es-CO"/>
        </w:rPr>
        <w:t xml:space="preserve">artículo </w:t>
      </w:r>
      <w:r w:rsidRPr="007D6432">
        <w:rPr>
          <w:rFonts w:ascii="Bookman Old Style" w:hAnsi="Bookman Old Style" w:cs="Courier"/>
          <w:i/>
          <w:iCs/>
          <w:sz w:val="24"/>
          <w:szCs w:val="24"/>
          <w:lang w:eastAsia="es-CO"/>
        </w:rPr>
        <w:t xml:space="preserve">7 del </w:t>
      </w:r>
      <w:r w:rsidR="00A633DE" w:rsidRPr="007D6432">
        <w:rPr>
          <w:rFonts w:ascii="Bookman Old Style" w:hAnsi="Bookman Old Style" w:cs="Courier"/>
          <w:i/>
          <w:iCs/>
          <w:sz w:val="24"/>
          <w:szCs w:val="24"/>
          <w:lang w:eastAsia="es-CO"/>
        </w:rPr>
        <w:t>Código</w:t>
      </w:r>
      <w:r w:rsidRPr="007D6432">
        <w:rPr>
          <w:rFonts w:ascii="Bookman Old Style" w:hAnsi="Bookman Old Style" w:cs="Courier"/>
          <w:i/>
          <w:iCs/>
          <w:sz w:val="24"/>
          <w:szCs w:val="24"/>
          <w:lang w:eastAsia="es-CO"/>
        </w:rPr>
        <w:t xml:space="preserve"> General del Proceso, siendo un deber de tener en cuenta la</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jurisprudencia, y</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cuando s</w:t>
      </w:r>
      <w:r w:rsidR="00A633DE" w:rsidRPr="007D6432">
        <w:rPr>
          <w:rFonts w:ascii="Bookman Old Style" w:hAnsi="Bookman Old Style" w:cs="Courier"/>
          <w:i/>
          <w:iCs/>
          <w:sz w:val="24"/>
          <w:szCs w:val="24"/>
          <w:lang w:eastAsia="es-CO"/>
        </w:rPr>
        <w:t>e</w:t>
      </w:r>
      <w:r w:rsidRPr="007D6432">
        <w:rPr>
          <w:rFonts w:ascii="Bookman Old Style" w:hAnsi="Bookman Old Style" w:cs="Courier"/>
          <w:i/>
          <w:iCs/>
          <w:sz w:val="24"/>
          <w:szCs w:val="24"/>
          <w:lang w:eastAsia="es-CO"/>
        </w:rPr>
        <w:t xml:space="preserve"> aparta la doctrina</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probable es obligado a exponer clara</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y concretamente las </w:t>
      </w:r>
      <w:r w:rsidR="00A633DE" w:rsidRPr="007D6432">
        <w:rPr>
          <w:rFonts w:ascii="Bookman Old Style" w:hAnsi="Bookman Old Style" w:cs="Courier"/>
          <w:i/>
          <w:iCs/>
          <w:sz w:val="24"/>
          <w:szCs w:val="24"/>
          <w:lang w:eastAsia="es-CO"/>
        </w:rPr>
        <w:t xml:space="preserve">razones </w:t>
      </w:r>
      <w:r w:rsidRPr="007D6432">
        <w:rPr>
          <w:rFonts w:ascii="Bookman Old Style" w:hAnsi="Bookman Old Style" w:cs="Courier"/>
          <w:i/>
          <w:iCs/>
          <w:sz w:val="24"/>
          <w:szCs w:val="24"/>
          <w:lang w:eastAsia="es-CO"/>
        </w:rPr>
        <w:t xml:space="preserve">de </w:t>
      </w:r>
      <w:r w:rsidR="00A633DE" w:rsidRPr="007D6432">
        <w:rPr>
          <w:rFonts w:ascii="Bookman Old Style" w:hAnsi="Bookman Old Style" w:cs="Courier"/>
          <w:i/>
          <w:iCs/>
          <w:sz w:val="24"/>
          <w:szCs w:val="24"/>
          <w:lang w:eastAsia="es-CO"/>
        </w:rPr>
        <w:t>su</w:t>
      </w:r>
      <w:r w:rsidRPr="007D6432">
        <w:rPr>
          <w:rFonts w:ascii="Bookman Old Style" w:hAnsi="Bookman Old Style" w:cs="Courier"/>
          <w:i/>
          <w:iCs/>
          <w:sz w:val="24"/>
          <w:szCs w:val="24"/>
          <w:lang w:eastAsia="es-CO"/>
        </w:rPr>
        <w:t xml:space="preserve"> </w:t>
      </w:r>
      <w:r w:rsidR="00A633DE" w:rsidRPr="007D6432">
        <w:rPr>
          <w:rFonts w:ascii="Bookman Old Style" w:hAnsi="Bookman Old Style" w:cs="Courier"/>
          <w:i/>
          <w:iCs/>
          <w:sz w:val="24"/>
          <w:szCs w:val="24"/>
          <w:lang w:eastAsia="es-CO"/>
        </w:rPr>
        <w:t>fundamento</w:t>
      </w:r>
      <w:r w:rsidRPr="007D6432">
        <w:rPr>
          <w:rFonts w:ascii="Bookman Old Style" w:hAnsi="Bookman Old Style" w:cs="Courier"/>
          <w:i/>
          <w:iCs/>
          <w:sz w:val="24"/>
          <w:szCs w:val="24"/>
          <w:lang w:eastAsia="es-CO"/>
        </w:rPr>
        <w:t xml:space="preserve"> </w:t>
      </w:r>
      <w:r w:rsidR="00A633DE" w:rsidRPr="007D6432">
        <w:rPr>
          <w:rFonts w:ascii="Bookman Old Style" w:hAnsi="Bookman Old Style" w:cs="Courier"/>
          <w:i/>
          <w:iCs/>
          <w:sz w:val="24"/>
          <w:szCs w:val="24"/>
          <w:lang w:eastAsia="es-CO"/>
        </w:rPr>
        <w:t xml:space="preserve">jurídico que justifican </w:t>
      </w:r>
      <w:r w:rsidRPr="007D6432">
        <w:rPr>
          <w:rFonts w:ascii="Bookman Old Style" w:hAnsi="Bookman Old Style" w:cs="Courier"/>
          <w:i/>
          <w:iCs/>
          <w:sz w:val="24"/>
          <w:szCs w:val="24"/>
          <w:lang w:eastAsia="es-CO"/>
        </w:rPr>
        <w:t>su decisión</w:t>
      </w:r>
      <w:r w:rsidR="00A633DE" w:rsidRPr="007D6432">
        <w:rPr>
          <w:rFonts w:ascii="Bookman Old Style" w:hAnsi="Bookman Old Style" w:cs="Courier"/>
          <w:b/>
          <w:bCs/>
          <w:i/>
          <w:iCs/>
          <w:sz w:val="24"/>
          <w:szCs w:val="24"/>
          <w:lang w:eastAsia="es-CO"/>
        </w:rPr>
        <w:t>.</w:t>
      </w:r>
      <w:r w:rsidRPr="007D6432">
        <w:rPr>
          <w:rFonts w:ascii="Bookman Old Style" w:hAnsi="Bookman Old Style" w:cs="Courier"/>
          <w:b/>
          <w:bCs/>
          <w:i/>
          <w:iCs/>
          <w:sz w:val="24"/>
          <w:szCs w:val="24"/>
          <w:lang w:eastAsia="es-CO"/>
        </w:rPr>
        <w:t xml:space="preserve"> </w:t>
      </w:r>
      <w:r w:rsidR="00A633DE" w:rsidRPr="007D6432">
        <w:rPr>
          <w:rFonts w:ascii="Bookman Old Style" w:hAnsi="Bookman Old Style" w:cs="Courier"/>
          <w:b/>
          <w:bCs/>
          <w:i/>
          <w:iCs/>
          <w:sz w:val="24"/>
          <w:szCs w:val="24"/>
          <w:lang w:eastAsia="es-CO"/>
        </w:rPr>
        <w:t>P</w:t>
      </w:r>
      <w:r w:rsidRPr="007D6432">
        <w:rPr>
          <w:rFonts w:ascii="Bookman Old Style" w:hAnsi="Bookman Old Style" w:cs="Courier"/>
          <w:b/>
          <w:bCs/>
          <w:i/>
          <w:iCs/>
          <w:sz w:val="24"/>
          <w:szCs w:val="24"/>
          <w:lang w:eastAsia="es-CO"/>
        </w:rPr>
        <w:t xml:space="preserve">ues simplemente se </w:t>
      </w:r>
      <w:r w:rsidR="00A633DE" w:rsidRPr="007D6432">
        <w:rPr>
          <w:rFonts w:ascii="Bookman Old Style" w:hAnsi="Bookman Old Style" w:cs="Courier"/>
          <w:b/>
          <w:bCs/>
          <w:i/>
          <w:iCs/>
          <w:sz w:val="24"/>
          <w:szCs w:val="24"/>
          <w:lang w:eastAsia="es-CO"/>
        </w:rPr>
        <w:t>indicó</w:t>
      </w:r>
      <w:r w:rsidRPr="007D6432">
        <w:rPr>
          <w:rFonts w:ascii="Bookman Old Style" w:hAnsi="Bookman Old Style" w:cs="Courier"/>
          <w:b/>
          <w:bCs/>
          <w:i/>
          <w:iCs/>
          <w:sz w:val="24"/>
          <w:szCs w:val="24"/>
          <w:lang w:eastAsia="es-CO"/>
        </w:rPr>
        <w:t xml:space="preserve"> que </w:t>
      </w:r>
      <w:r w:rsidR="00A633DE" w:rsidRPr="007D6432">
        <w:rPr>
          <w:rFonts w:ascii="Bookman Old Style" w:hAnsi="Bookman Old Style" w:cs="Courier"/>
          <w:b/>
          <w:bCs/>
          <w:i/>
          <w:iCs/>
          <w:sz w:val="24"/>
          <w:szCs w:val="24"/>
          <w:lang w:eastAsia="es-CO"/>
        </w:rPr>
        <w:t xml:space="preserve">estaba probado </w:t>
      </w:r>
      <w:r w:rsidRPr="007D6432">
        <w:rPr>
          <w:rFonts w:ascii="Bookman Old Style" w:hAnsi="Bookman Old Style" w:cs="Courier"/>
          <w:b/>
          <w:bCs/>
          <w:i/>
          <w:iCs/>
          <w:sz w:val="24"/>
          <w:szCs w:val="24"/>
          <w:lang w:eastAsia="es-CO"/>
        </w:rPr>
        <w:t xml:space="preserve">en las condiciones generales de la </w:t>
      </w:r>
      <w:r w:rsidR="00A633DE" w:rsidRPr="007D6432">
        <w:rPr>
          <w:rFonts w:ascii="Bookman Old Style" w:hAnsi="Bookman Old Style" w:cs="Courier"/>
          <w:b/>
          <w:bCs/>
          <w:i/>
          <w:iCs/>
          <w:sz w:val="24"/>
          <w:szCs w:val="24"/>
          <w:lang w:eastAsia="es-CO"/>
        </w:rPr>
        <w:t>póliza</w:t>
      </w:r>
      <w:r w:rsidRPr="007D6432">
        <w:rPr>
          <w:rFonts w:ascii="Bookman Old Style" w:hAnsi="Bookman Old Style" w:cs="Courier"/>
          <w:b/>
          <w:bCs/>
          <w:i/>
          <w:iCs/>
          <w:sz w:val="24"/>
          <w:szCs w:val="24"/>
          <w:lang w:eastAsia="es-CO"/>
        </w:rPr>
        <w:t xml:space="preserve"> haberse pactado la </w:t>
      </w:r>
      <w:r w:rsidR="00A633DE" w:rsidRPr="007D6432">
        <w:rPr>
          <w:rFonts w:ascii="Bookman Old Style" w:hAnsi="Bookman Old Style" w:cs="Courier"/>
          <w:b/>
          <w:bCs/>
          <w:i/>
          <w:iCs/>
          <w:sz w:val="24"/>
          <w:szCs w:val="24"/>
          <w:lang w:eastAsia="es-CO"/>
        </w:rPr>
        <w:lastRenderedPageBreak/>
        <w:t>creación</w:t>
      </w:r>
      <w:r w:rsidRPr="007D6432">
        <w:rPr>
          <w:rFonts w:ascii="Bookman Old Style" w:hAnsi="Bookman Old Style" w:cs="Courier"/>
          <w:b/>
          <w:bCs/>
          <w:i/>
          <w:iCs/>
          <w:sz w:val="24"/>
          <w:szCs w:val="24"/>
          <w:lang w:eastAsia="es-CO"/>
        </w:rPr>
        <w:t xml:space="preserve"> de protección</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que cubriría la prima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por los siguientes años hasta que el asegurado cumpliera la edad de 80</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años, y al haberse demostrado el agotamiento del</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fondo, devenía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claramente la terminación</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del contrato de seguro por el no pago de la</w:t>
      </w:r>
      <w:r w:rsidR="00A633DE" w:rsidRPr="007D6432">
        <w:rPr>
          <w:rFonts w:ascii="Bookman Old Style" w:hAnsi="Bookman Old Style" w:cs="Courier"/>
          <w:b/>
          <w:bCs/>
          <w:i/>
          <w:iCs/>
          <w:sz w:val="24"/>
          <w:szCs w:val="24"/>
          <w:lang w:eastAsia="es-CO"/>
        </w:rPr>
        <w:t xml:space="preserve"> prima</w:t>
      </w:r>
      <w:r w:rsidRPr="007D6432">
        <w:rPr>
          <w:rFonts w:ascii="Bookman Old Style" w:hAnsi="Bookman Old Style" w:cs="Courier"/>
          <w:b/>
          <w:bCs/>
          <w:i/>
          <w:iCs/>
          <w:sz w:val="24"/>
          <w:szCs w:val="24"/>
          <w:lang w:eastAsia="es-CO"/>
        </w:rPr>
        <w:t xml:space="preserve"> según lo reglado por el </w:t>
      </w:r>
      <w:r w:rsidR="00A633DE" w:rsidRPr="007D6432">
        <w:rPr>
          <w:rFonts w:ascii="Bookman Old Style" w:hAnsi="Bookman Old Style" w:cs="Courier"/>
          <w:b/>
          <w:bCs/>
          <w:i/>
          <w:iCs/>
          <w:sz w:val="24"/>
          <w:szCs w:val="24"/>
          <w:lang w:eastAsia="es-CO"/>
        </w:rPr>
        <w:t>artículo</w:t>
      </w:r>
      <w:r w:rsidRPr="007D6432">
        <w:rPr>
          <w:rFonts w:ascii="Bookman Old Style" w:hAnsi="Bookman Old Style" w:cs="Courier"/>
          <w:b/>
          <w:bCs/>
          <w:i/>
          <w:iCs/>
          <w:sz w:val="24"/>
          <w:szCs w:val="24"/>
          <w:lang w:eastAsia="es-CO"/>
        </w:rPr>
        <w:t xml:space="preserve"> 1068 del</w:t>
      </w:r>
      <w:r w:rsidR="00A633DE" w:rsidRPr="007D6432">
        <w:rPr>
          <w:rFonts w:ascii="Bookman Old Style" w:hAnsi="Bookman Old Style" w:cs="Courier"/>
          <w:b/>
          <w:bCs/>
          <w:i/>
          <w:iCs/>
          <w:sz w:val="24"/>
          <w:szCs w:val="24"/>
          <w:lang w:eastAsia="es-CO"/>
        </w:rPr>
        <w:t xml:space="preserve"> Código</w:t>
      </w:r>
      <w:r w:rsidRPr="007D6432">
        <w:rPr>
          <w:rFonts w:ascii="Bookman Old Style" w:hAnsi="Bookman Old Style" w:cs="Courier"/>
          <w:b/>
          <w:bCs/>
          <w:i/>
          <w:iCs/>
          <w:sz w:val="24"/>
          <w:szCs w:val="24"/>
          <w:lang w:eastAsia="es-CO"/>
        </w:rPr>
        <w:t xml:space="preserve"> de Comercio</w:t>
      </w:r>
      <w:r w:rsidR="00A633DE" w:rsidRPr="007D6432">
        <w:rPr>
          <w:rFonts w:ascii="Bookman Old Style" w:hAnsi="Bookman Old Style" w:cs="Courier"/>
          <w:b/>
          <w:bCs/>
          <w:i/>
          <w:iCs/>
          <w:sz w:val="24"/>
          <w:szCs w:val="24"/>
          <w:lang w:eastAsia="es-CO"/>
        </w:rPr>
        <w:t>.</w:t>
      </w:r>
      <w:r w:rsidR="00A633DE" w:rsidRPr="007D6432">
        <w:rPr>
          <w:rFonts w:ascii="Bookman Old Style" w:hAnsi="Bookman Old Style" w:cs="Courier"/>
          <w:i/>
          <w:iCs/>
          <w:sz w:val="24"/>
          <w:szCs w:val="24"/>
          <w:lang w:eastAsia="es-CO"/>
        </w:rPr>
        <w:t xml:space="preserve"> </w:t>
      </w:r>
    </w:p>
    <w:p w14:paraId="25C5DC30" w14:textId="77777777" w:rsidR="00A633DE" w:rsidRPr="007D6432" w:rsidRDefault="00A633DE" w:rsidP="007D6432">
      <w:pPr>
        <w:autoSpaceDE w:val="0"/>
        <w:autoSpaceDN w:val="0"/>
        <w:adjustRightInd w:val="0"/>
        <w:spacing w:after="0"/>
        <w:ind w:left="709"/>
        <w:rPr>
          <w:rFonts w:ascii="Bookman Old Style" w:hAnsi="Bookman Old Style" w:cs="Courier"/>
          <w:i/>
          <w:iCs/>
          <w:sz w:val="24"/>
          <w:szCs w:val="24"/>
          <w:lang w:eastAsia="es-CO"/>
        </w:rPr>
      </w:pPr>
    </w:p>
    <w:p w14:paraId="085ECB67" w14:textId="066179AF" w:rsidR="00A633DE" w:rsidRPr="007D6432" w:rsidRDefault="00917974" w:rsidP="007D6432">
      <w:pPr>
        <w:autoSpaceDE w:val="0"/>
        <w:autoSpaceDN w:val="0"/>
        <w:adjustRightInd w:val="0"/>
        <w:spacing w:after="0"/>
        <w:ind w:left="709"/>
        <w:jc w:val="both"/>
        <w:rPr>
          <w:rFonts w:ascii="Bookman Old Style" w:hAnsi="Bookman Old Style" w:cs="Courier"/>
          <w:b/>
          <w:bCs/>
          <w:i/>
          <w:iCs/>
          <w:sz w:val="24"/>
          <w:szCs w:val="24"/>
          <w:lang w:eastAsia="es-CO"/>
        </w:rPr>
      </w:pPr>
      <w:r w:rsidRPr="007D6432">
        <w:rPr>
          <w:rFonts w:ascii="Bookman Old Style" w:hAnsi="Bookman Old Style" w:cs="Courier"/>
          <w:b/>
          <w:bCs/>
          <w:i/>
          <w:iCs/>
          <w:sz w:val="24"/>
          <w:szCs w:val="24"/>
          <w:lang w:eastAsia="es-CO"/>
        </w:rPr>
        <w:t xml:space="preserve">Aclarado lo anterior, no le asiste </w:t>
      </w:r>
      <w:r w:rsidR="00A633DE" w:rsidRPr="007D6432">
        <w:rPr>
          <w:rFonts w:ascii="Bookman Old Style" w:hAnsi="Bookman Old Style" w:cs="Courier"/>
          <w:b/>
          <w:bCs/>
          <w:i/>
          <w:iCs/>
          <w:sz w:val="24"/>
          <w:szCs w:val="24"/>
          <w:lang w:eastAsia="es-CO"/>
        </w:rPr>
        <w:t>razón</w:t>
      </w:r>
      <w:r w:rsidRPr="007D6432">
        <w:rPr>
          <w:rFonts w:ascii="Bookman Old Style" w:hAnsi="Bookman Old Style" w:cs="Courier"/>
          <w:b/>
          <w:bCs/>
          <w:i/>
          <w:iCs/>
          <w:sz w:val="24"/>
          <w:szCs w:val="24"/>
          <w:lang w:eastAsia="es-CO"/>
        </w:rPr>
        <w:t xml:space="preserve"> </w:t>
      </w:r>
      <w:r w:rsidR="00A633DE" w:rsidRPr="007D6432">
        <w:rPr>
          <w:rFonts w:ascii="Bookman Old Style" w:hAnsi="Bookman Old Style" w:cs="Courier"/>
          <w:b/>
          <w:bCs/>
          <w:i/>
          <w:iCs/>
          <w:sz w:val="24"/>
          <w:szCs w:val="24"/>
          <w:lang w:eastAsia="es-CO"/>
        </w:rPr>
        <w:t>al juez de primera instancia</w:t>
      </w:r>
      <w:r w:rsidRPr="007D6432">
        <w:rPr>
          <w:rFonts w:ascii="Bookman Old Style" w:hAnsi="Bookman Old Style" w:cs="Courier"/>
          <w:b/>
          <w:bCs/>
          <w:i/>
          <w:iCs/>
          <w:sz w:val="24"/>
          <w:szCs w:val="24"/>
          <w:lang w:eastAsia="es-CO"/>
        </w:rPr>
        <w:t xml:space="preserve"> </w:t>
      </w:r>
      <w:r w:rsidR="00A633DE" w:rsidRPr="007D6432">
        <w:rPr>
          <w:rFonts w:ascii="Bookman Old Style" w:hAnsi="Bookman Old Style" w:cs="Courier"/>
          <w:b/>
          <w:bCs/>
          <w:i/>
          <w:iCs/>
          <w:sz w:val="24"/>
          <w:szCs w:val="24"/>
          <w:lang w:eastAsia="es-CO"/>
        </w:rPr>
        <w:t>en</w:t>
      </w:r>
      <w:r w:rsidRPr="007D6432">
        <w:rPr>
          <w:rFonts w:ascii="Bookman Old Style" w:hAnsi="Bookman Old Style" w:cs="Courier"/>
          <w:b/>
          <w:bCs/>
          <w:i/>
          <w:iCs/>
          <w:sz w:val="24"/>
          <w:szCs w:val="24"/>
          <w:lang w:eastAsia="es-CO"/>
        </w:rPr>
        <w:t xml:space="preserve"> </w:t>
      </w:r>
      <w:r w:rsidR="00A633DE" w:rsidRPr="007D6432">
        <w:rPr>
          <w:rFonts w:ascii="Bookman Old Style" w:hAnsi="Bookman Old Style" w:cs="Courier"/>
          <w:b/>
          <w:bCs/>
          <w:i/>
          <w:iCs/>
          <w:sz w:val="24"/>
          <w:szCs w:val="24"/>
          <w:lang w:eastAsia="es-CO"/>
        </w:rPr>
        <w:t>a</w:t>
      </w:r>
      <w:r w:rsidRPr="007D6432">
        <w:rPr>
          <w:rFonts w:ascii="Bookman Old Style" w:hAnsi="Bookman Old Style" w:cs="Courier"/>
          <w:b/>
          <w:bCs/>
          <w:i/>
          <w:iCs/>
          <w:sz w:val="24"/>
          <w:szCs w:val="24"/>
          <w:lang w:eastAsia="es-CO"/>
        </w:rPr>
        <w:t xml:space="preserve">firmar que la </w:t>
      </w:r>
      <w:r w:rsidR="00A633DE" w:rsidRPr="007D6432">
        <w:rPr>
          <w:rFonts w:ascii="Bookman Old Style" w:hAnsi="Bookman Old Style" w:cs="Courier"/>
          <w:b/>
          <w:bCs/>
          <w:i/>
          <w:iCs/>
          <w:sz w:val="24"/>
          <w:szCs w:val="24"/>
          <w:lang w:eastAsia="es-CO"/>
        </w:rPr>
        <w:t xml:space="preserve">póliza </w:t>
      </w:r>
      <w:r w:rsidRPr="007D6432">
        <w:rPr>
          <w:rFonts w:ascii="Bookman Old Style" w:hAnsi="Bookman Old Style" w:cs="Courier"/>
          <w:b/>
          <w:bCs/>
          <w:i/>
          <w:iCs/>
          <w:sz w:val="24"/>
          <w:szCs w:val="24"/>
          <w:lang w:eastAsia="es-CO"/>
        </w:rPr>
        <w:t>de seguro de vida objeto del</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proceso se había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pactado la constitución de un</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fondo de protección</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con los </w:t>
      </w:r>
      <w:r w:rsidR="00A633DE" w:rsidRPr="007D6432">
        <w:rPr>
          <w:rFonts w:ascii="Bookman Old Style" w:hAnsi="Bookman Old Style" w:cs="Courier"/>
          <w:b/>
          <w:bCs/>
          <w:i/>
          <w:iCs/>
          <w:sz w:val="24"/>
          <w:szCs w:val="24"/>
          <w:lang w:eastAsia="es-CO"/>
        </w:rPr>
        <w:t>valores</w:t>
      </w:r>
      <w:r w:rsidRPr="007D6432">
        <w:rPr>
          <w:rFonts w:ascii="Bookman Old Style" w:hAnsi="Bookman Old Style" w:cs="Courier"/>
          <w:b/>
          <w:bCs/>
          <w:i/>
          <w:iCs/>
          <w:sz w:val="24"/>
          <w:szCs w:val="24"/>
          <w:lang w:eastAsia="es-CO"/>
        </w:rPr>
        <w:t xml:space="preserve"> de cesión o rescate</w:t>
      </w:r>
      <w:r w:rsidRPr="007D6432">
        <w:rPr>
          <w:rFonts w:ascii="Bookman Old Style" w:hAnsi="Bookman Old Style" w:cs="Courier"/>
          <w:i/>
          <w:iCs/>
          <w:sz w:val="24"/>
          <w:szCs w:val="24"/>
          <w:lang w:eastAsia="es-CO"/>
        </w:rPr>
        <w:t xml:space="preserve">, </w:t>
      </w:r>
      <w:r w:rsidRPr="007D6432">
        <w:rPr>
          <w:rFonts w:ascii="Bookman Old Style" w:hAnsi="Bookman Old Style" w:cs="Courier"/>
          <w:b/>
          <w:bCs/>
          <w:i/>
          <w:iCs/>
          <w:sz w:val="24"/>
          <w:szCs w:val="24"/>
          <w:lang w:eastAsia="es-CO"/>
        </w:rPr>
        <w:t>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partir del cual con una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proyección</w:t>
      </w:r>
      <w:r w:rsidR="00A633DE" w:rsidRPr="007D6432">
        <w:rPr>
          <w:rFonts w:ascii="Bookman Old Style" w:hAnsi="Bookman Old Style" w:cs="Courier"/>
          <w:b/>
          <w:bCs/>
          <w:i/>
          <w:iCs/>
          <w:sz w:val="24"/>
          <w:szCs w:val="24"/>
          <w:lang w:eastAsia="es-CO"/>
        </w:rPr>
        <w:t xml:space="preserve"> de</w:t>
      </w:r>
      <w:r w:rsidRPr="007D6432">
        <w:rPr>
          <w:rFonts w:ascii="Bookman Old Style" w:hAnsi="Bookman Old Style" w:cs="Courier"/>
          <w:b/>
          <w:bCs/>
          <w:i/>
          <w:iCs/>
          <w:sz w:val="24"/>
          <w:szCs w:val="24"/>
          <w:lang w:eastAsia="es-CO"/>
        </w:rPr>
        <w:t xml:space="preserve"> rentabilidad del 24%,</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se </w:t>
      </w:r>
      <w:r w:rsidR="00A633DE" w:rsidRPr="007D6432">
        <w:rPr>
          <w:rFonts w:ascii="Bookman Old Style" w:hAnsi="Bookman Old Style" w:cs="Courier"/>
          <w:b/>
          <w:bCs/>
          <w:i/>
          <w:iCs/>
          <w:sz w:val="24"/>
          <w:szCs w:val="24"/>
          <w:lang w:eastAsia="es-CO"/>
        </w:rPr>
        <w:t>cubriría</w:t>
      </w:r>
      <w:r w:rsidRPr="007D6432">
        <w:rPr>
          <w:rFonts w:ascii="Bookman Old Style" w:hAnsi="Bookman Old Style" w:cs="Courier"/>
          <w:b/>
          <w:bCs/>
          <w:i/>
          <w:iCs/>
          <w:sz w:val="24"/>
          <w:szCs w:val="24"/>
          <w:lang w:eastAsia="es-CO"/>
        </w:rPr>
        <w:t xml:space="preserve"> el</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pago de la </w:t>
      </w:r>
      <w:r w:rsidR="00A633DE" w:rsidRPr="007D6432">
        <w:rPr>
          <w:rFonts w:ascii="Bookman Old Style" w:hAnsi="Bookman Old Style" w:cs="Courier"/>
          <w:b/>
          <w:bCs/>
          <w:i/>
          <w:iCs/>
          <w:sz w:val="24"/>
          <w:szCs w:val="24"/>
          <w:lang w:eastAsia="es-CO"/>
        </w:rPr>
        <w:t>prima</w:t>
      </w:r>
      <w:r w:rsidRPr="007D6432">
        <w:rPr>
          <w:rFonts w:ascii="Bookman Old Style" w:hAnsi="Bookman Old Style" w:cs="Courier"/>
          <w:b/>
          <w:bCs/>
          <w:i/>
          <w:iCs/>
          <w:sz w:val="24"/>
          <w:szCs w:val="24"/>
          <w:lang w:eastAsia="es-CO"/>
        </w:rPr>
        <w:t xml:space="preserve"> por los años subsiguientes de vigencia hasta que el asegurado</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cumpliera 80 años de edad, ra</w:t>
      </w:r>
      <w:r w:rsidR="00A633DE" w:rsidRPr="007D6432">
        <w:rPr>
          <w:rFonts w:ascii="Bookman Old Style" w:hAnsi="Bookman Old Style" w:cs="Courier"/>
          <w:b/>
          <w:bCs/>
          <w:i/>
          <w:iCs/>
          <w:sz w:val="24"/>
          <w:szCs w:val="24"/>
          <w:lang w:eastAsia="es-CO"/>
        </w:rPr>
        <w:t xml:space="preserve">zón </w:t>
      </w:r>
      <w:r w:rsidRPr="007D6432">
        <w:rPr>
          <w:rFonts w:ascii="Bookman Old Style" w:hAnsi="Bookman Old Style" w:cs="Courier"/>
          <w:b/>
          <w:bCs/>
          <w:i/>
          <w:iCs/>
          <w:sz w:val="24"/>
          <w:szCs w:val="24"/>
          <w:lang w:eastAsia="es-CO"/>
        </w:rPr>
        <w:t>por la cual, al haberse agotado los valores de rescate</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acumulados, según </w:t>
      </w:r>
      <w:r w:rsidR="00A633DE" w:rsidRPr="007D6432">
        <w:rPr>
          <w:rFonts w:ascii="Bookman Old Style" w:hAnsi="Bookman Old Style" w:cs="Courier"/>
          <w:b/>
          <w:bCs/>
          <w:i/>
          <w:iCs/>
          <w:sz w:val="24"/>
          <w:szCs w:val="24"/>
          <w:lang w:eastAsia="es-CO"/>
        </w:rPr>
        <w:t>decir</w:t>
      </w:r>
      <w:r w:rsidRPr="007D6432">
        <w:rPr>
          <w:rFonts w:ascii="Bookman Old Style" w:hAnsi="Bookman Old Style" w:cs="Courier"/>
          <w:b/>
          <w:bCs/>
          <w:i/>
          <w:iCs/>
          <w:sz w:val="24"/>
          <w:szCs w:val="24"/>
          <w:lang w:eastAsia="es-CO"/>
        </w:rPr>
        <w:t xml:space="preserve"> de la parte demandada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fueron debido a la </w:t>
      </w:r>
      <w:r w:rsidR="00A633DE" w:rsidRPr="007D6432">
        <w:rPr>
          <w:rFonts w:ascii="Bookman Old Style" w:hAnsi="Bookman Old Style" w:cs="Courier"/>
          <w:b/>
          <w:bCs/>
          <w:i/>
          <w:iCs/>
          <w:sz w:val="24"/>
          <w:szCs w:val="24"/>
          <w:lang w:eastAsia="es-CO"/>
        </w:rPr>
        <w:t>variación</w:t>
      </w:r>
      <w:r w:rsidRPr="007D6432">
        <w:rPr>
          <w:rFonts w:ascii="Bookman Old Style" w:hAnsi="Bookman Old Style" w:cs="Courier"/>
          <w:b/>
          <w:bCs/>
          <w:i/>
          <w:iCs/>
          <w:sz w:val="24"/>
          <w:szCs w:val="24"/>
          <w:lang w:eastAsia="es-CO"/>
        </w:rPr>
        <w:t xml:space="preserve"> de las condiciones</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del mercado experimentados por la economía nacional durante la vigencia de la misma</w:t>
      </w:r>
      <w:r w:rsidRPr="007D6432">
        <w:rPr>
          <w:rFonts w:ascii="Bookman Old Style" w:hAnsi="Bookman Old Style" w:cs="Courier"/>
          <w:i/>
          <w:iCs/>
          <w:sz w:val="24"/>
          <w:szCs w:val="24"/>
          <w:lang w:eastAsia="es-CO"/>
        </w:rPr>
        <w:t xml:space="preserve">, </w:t>
      </w:r>
      <w:r w:rsidRPr="007D6432">
        <w:rPr>
          <w:rFonts w:ascii="Bookman Old Style" w:hAnsi="Bookman Old Style" w:cs="Courier"/>
          <w:b/>
          <w:bCs/>
          <w:i/>
          <w:iCs/>
          <w:sz w:val="24"/>
          <w:szCs w:val="24"/>
          <w:lang w:eastAsia="es-CO"/>
        </w:rPr>
        <w:t>pues</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según un concepto emitido de la </w:t>
      </w:r>
      <w:r w:rsidR="00A633DE" w:rsidRPr="007D6432">
        <w:rPr>
          <w:rFonts w:ascii="Bookman Old Style" w:hAnsi="Bookman Old Style" w:cs="Courier"/>
          <w:b/>
          <w:bCs/>
          <w:i/>
          <w:iCs/>
          <w:sz w:val="24"/>
          <w:szCs w:val="24"/>
          <w:lang w:eastAsia="es-CO"/>
        </w:rPr>
        <w:t>Superintendencia</w:t>
      </w:r>
      <w:r w:rsidRPr="007D6432">
        <w:rPr>
          <w:rFonts w:ascii="Bookman Old Style" w:hAnsi="Bookman Old Style" w:cs="Courier"/>
          <w:b/>
          <w:bCs/>
          <w:i/>
          <w:iCs/>
          <w:sz w:val="24"/>
          <w:szCs w:val="24"/>
          <w:lang w:eastAsia="es-CO"/>
        </w:rPr>
        <w:t xml:space="preserve"> Financiera, no resulta aceptable indicar tal</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afirmación por parte de la sociedad demandada </w:t>
      </w:r>
      <w:r w:rsidR="00A633DE" w:rsidRPr="007D6432">
        <w:rPr>
          <w:rFonts w:ascii="Bookman Old Style" w:hAnsi="Bookman Old Style" w:cs="Courier"/>
          <w:b/>
          <w:bCs/>
          <w:i/>
          <w:iCs/>
          <w:sz w:val="24"/>
          <w:szCs w:val="24"/>
          <w:lang w:eastAsia="es-CO"/>
        </w:rPr>
        <w:t>para</w:t>
      </w:r>
      <w:r w:rsidRPr="007D6432">
        <w:rPr>
          <w:rFonts w:ascii="Bookman Old Style" w:hAnsi="Bookman Old Style" w:cs="Courier"/>
          <w:b/>
          <w:bCs/>
          <w:i/>
          <w:iCs/>
          <w:sz w:val="24"/>
          <w:szCs w:val="24"/>
          <w:lang w:eastAsia="es-CO"/>
        </w:rPr>
        <w:t xml:space="preserve"> haber dado por terminado el contrato de</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 xml:space="preserve">seguro, con el argumento del </w:t>
      </w:r>
      <w:r w:rsidR="00A633DE" w:rsidRPr="007D6432">
        <w:rPr>
          <w:rFonts w:ascii="Bookman Old Style" w:hAnsi="Bookman Old Style" w:cs="Courier"/>
          <w:b/>
          <w:bCs/>
          <w:i/>
          <w:iCs/>
          <w:sz w:val="24"/>
          <w:szCs w:val="24"/>
          <w:lang w:eastAsia="es-CO"/>
        </w:rPr>
        <w:t>agotamiento</w:t>
      </w:r>
      <w:r w:rsidRPr="007D6432">
        <w:rPr>
          <w:rFonts w:ascii="Bookman Old Style" w:hAnsi="Bookman Old Style" w:cs="Courier"/>
          <w:b/>
          <w:bCs/>
          <w:i/>
          <w:iCs/>
          <w:sz w:val="24"/>
          <w:szCs w:val="24"/>
          <w:lang w:eastAsia="es-CO"/>
        </w:rPr>
        <w:t xml:space="preserve"> de los valores de rescate acumulados destinados para</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i/>
          <w:iCs/>
          <w:sz w:val="24"/>
          <w:szCs w:val="24"/>
          <w:lang w:eastAsia="es-CO"/>
        </w:rPr>
        <w:t xml:space="preserve">el pago de las </w:t>
      </w:r>
      <w:r w:rsidR="00A633DE" w:rsidRPr="007D6432">
        <w:rPr>
          <w:rFonts w:ascii="Bookman Old Style" w:hAnsi="Bookman Old Style" w:cs="Courier"/>
          <w:i/>
          <w:iCs/>
          <w:sz w:val="24"/>
          <w:szCs w:val="24"/>
          <w:lang w:eastAsia="es-CO"/>
        </w:rPr>
        <w:t>primas</w:t>
      </w:r>
      <w:r w:rsidRPr="007D6432">
        <w:rPr>
          <w:rFonts w:ascii="Bookman Old Style" w:hAnsi="Bookman Old Style" w:cs="Courier"/>
          <w:i/>
          <w:iCs/>
          <w:sz w:val="24"/>
          <w:szCs w:val="24"/>
          <w:lang w:eastAsia="es-CO"/>
        </w:rPr>
        <w:t xml:space="preserve"> subsiguientes, dados los aspectos técnicos que se manejan en los contratos</w:t>
      </w:r>
      <w:r w:rsidR="00A633DE" w:rsidRPr="007D6432">
        <w:rPr>
          <w:rFonts w:ascii="Bookman Old Style" w:hAnsi="Bookman Old Style" w:cs="Courier"/>
          <w:b/>
          <w:bCs/>
          <w:i/>
          <w:iCs/>
          <w:sz w:val="24"/>
          <w:szCs w:val="24"/>
          <w:lang w:eastAsia="es-CO"/>
        </w:rPr>
        <w:t xml:space="preserve"> </w:t>
      </w:r>
      <w:r w:rsidRPr="007D6432">
        <w:rPr>
          <w:rFonts w:ascii="Bookman Old Style" w:hAnsi="Bookman Old Style" w:cs="Courier"/>
          <w:i/>
          <w:iCs/>
          <w:sz w:val="24"/>
          <w:szCs w:val="24"/>
          <w:lang w:eastAsia="es-CO"/>
        </w:rPr>
        <w:t xml:space="preserve">de </w:t>
      </w:r>
      <w:r w:rsidR="00A633DE" w:rsidRPr="007D6432">
        <w:rPr>
          <w:rFonts w:ascii="Bookman Old Style" w:hAnsi="Bookman Old Style" w:cs="Courier"/>
          <w:i/>
          <w:iCs/>
          <w:sz w:val="24"/>
          <w:szCs w:val="24"/>
          <w:lang w:eastAsia="es-CO"/>
        </w:rPr>
        <w:t>seguro de vida, y</w:t>
      </w:r>
      <w:r w:rsidRPr="007D6432">
        <w:rPr>
          <w:rFonts w:ascii="Bookman Old Style" w:hAnsi="Bookman Old Style" w:cs="Courier"/>
          <w:i/>
          <w:iCs/>
          <w:sz w:val="24"/>
          <w:szCs w:val="24"/>
          <w:lang w:eastAsia="es-CO"/>
        </w:rPr>
        <w:t xml:space="preserve"> en especial lo reglado por los artículos 183 a 187 y 201 del estatuto</w:t>
      </w:r>
      <w:r w:rsidR="00A633DE"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orgánico del sistema financiero, en </w:t>
      </w:r>
      <w:r w:rsidR="00A633DE" w:rsidRPr="007D6432">
        <w:rPr>
          <w:rFonts w:ascii="Bookman Old Style" w:hAnsi="Bookman Old Style" w:cs="Courier"/>
          <w:i/>
          <w:iCs/>
          <w:sz w:val="24"/>
          <w:szCs w:val="24"/>
          <w:lang w:eastAsia="es-CO"/>
        </w:rPr>
        <w:t>concordancia</w:t>
      </w:r>
      <w:r w:rsidRPr="007D6432">
        <w:rPr>
          <w:rFonts w:ascii="Bookman Old Style" w:hAnsi="Bookman Old Style" w:cs="Courier"/>
          <w:i/>
          <w:iCs/>
          <w:sz w:val="24"/>
          <w:szCs w:val="24"/>
          <w:lang w:eastAsia="es-CO"/>
        </w:rPr>
        <w:t xml:space="preserve"> con el </w:t>
      </w:r>
      <w:r w:rsidR="00A633DE" w:rsidRPr="007D6432">
        <w:rPr>
          <w:rFonts w:ascii="Bookman Old Style" w:hAnsi="Bookman Old Style" w:cs="Courier"/>
          <w:i/>
          <w:iCs/>
          <w:sz w:val="24"/>
          <w:szCs w:val="24"/>
          <w:lang w:eastAsia="es-CO"/>
        </w:rPr>
        <w:t>Código</w:t>
      </w:r>
      <w:r w:rsidRPr="007D6432">
        <w:rPr>
          <w:rFonts w:ascii="Bookman Old Style" w:hAnsi="Bookman Old Style" w:cs="Courier"/>
          <w:i/>
          <w:iCs/>
          <w:sz w:val="24"/>
          <w:szCs w:val="24"/>
          <w:lang w:eastAsia="es-CO"/>
        </w:rPr>
        <w:t xml:space="preserve"> de Comercio</w:t>
      </w:r>
      <w:r w:rsidR="00A633DE"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w:t>
      </w:r>
    </w:p>
    <w:p w14:paraId="2738436A" w14:textId="77777777" w:rsidR="00A633DE" w:rsidRPr="007D6432" w:rsidRDefault="00A633DE" w:rsidP="007D6432">
      <w:pPr>
        <w:autoSpaceDE w:val="0"/>
        <w:autoSpaceDN w:val="0"/>
        <w:adjustRightInd w:val="0"/>
        <w:spacing w:after="0"/>
        <w:ind w:left="709"/>
        <w:rPr>
          <w:rFonts w:ascii="Bookman Old Style" w:hAnsi="Bookman Old Style" w:cs="Courier"/>
          <w:i/>
          <w:iCs/>
          <w:sz w:val="24"/>
          <w:szCs w:val="24"/>
          <w:lang w:eastAsia="es-CO"/>
        </w:rPr>
      </w:pPr>
    </w:p>
    <w:p w14:paraId="7874B763" w14:textId="2BA56F42" w:rsidR="00917974" w:rsidRPr="007D6432" w:rsidRDefault="00A633DE" w:rsidP="007D6432">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P</w:t>
      </w:r>
      <w:r w:rsidR="00917974" w:rsidRPr="007D6432">
        <w:rPr>
          <w:rFonts w:ascii="Bookman Old Style" w:hAnsi="Bookman Old Style" w:cs="Courier"/>
          <w:i/>
          <w:iCs/>
          <w:sz w:val="24"/>
          <w:szCs w:val="24"/>
          <w:lang w:eastAsia="es-CO"/>
        </w:rPr>
        <w:t>ues debemos</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 xml:space="preserve">acotar claramente que el </w:t>
      </w:r>
      <w:r w:rsidRPr="007D6432">
        <w:rPr>
          <w:rFonts w:ascii="Bookman Old Style" w:hAnsi="Bookman Old Style" w:cs="Courier"/>
          <w:i/>
          <w:iCs/>
          <w:sz w:val="24"/>
          <w:szCs w:val="24"/>
          <w:lang w:eastAsia="es-CO"/>
        </w:rPr>
        <w:t>artículo</w:t>
      </w:r>
      <w:r w:rsidR="00917974" w:rsidRPr="007D6432">
        <w:rPr>
          <w:rFonts w:ascii="Bookman Old Style" w:hAnsi="Bookman Old Style" w:cs="Courier"/>
          <w:i/>
          <w:iCs/>
          <w:sz w:val="24"/>
          <w:szCs w:val="24"/>
          <w:lang w:eastAsia="es-CO"/>
        </w:rPr>
        <w:t xml:space="preserve"> 186 del Estatuto</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Orgánico del Sistema</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Financiero, que</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fue</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 xml:space="preserve">modificado por el </w:t>
      </w:r>
      <w:r w:rsidRPr="007D6432">
        <w:rPr>
          <w:rFonts w:ascii="Bookman Old Style" w:hAnsi="Bookman Old Style" w:cs="Courier"/>
          <w:i/>
          <w:iCs/>
          <w:sz w:val="24"/>
          <w:szCs w:val="24"/>
          <w:lang w:eastAsia="es-CO"/>
        </w:rPr>
        <w:t>artículo</w:t>
      </w:r>
      <w:r w:rsidR="00917974" w:rsidRPr="007D6432">
        <w:rPr>
          <w:rFonts w:ascii="Bookman Old Style" w:hAnsi="Bookman Old Style" w:cs="Courier"/>
          <w:i/>
          <w:iCs/>
          <w:sz w:val="24"/>
          <w:szCs w:val="24"/>
          <w:lang w:eastAsia="es-CO"/>
        </w:rPr>
        <w:t xml:space="preserve"> 43 de la Ley 795 de 2003, que fue declarado exequible en sentencia</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C553 de 2007</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por la Corte Constitucional, establece que las entidades aseguradoras deben</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 xml:space="preserve">constituir, </w:t>
      </w:r>
      <w:r w:rsidR="00740F3C" w:rsidRPr="007D6432">
        <w:rPr>
          <w:rFonts w:ascii="Bookman Old Style" w:hAnsi="Bookman Old Style" w:cs="Courier"/>
          <w:i/>
          <w:iCs/>
          <w:sz w:val="24"/>
          <w:szCs w:val="24"/>
          <w:lang w:eastAsia="es-CO"/>
        </w:rPr>
        <w:t>ósea</w:t>
      </w:r>
      <w:r w:rsidR="00917974" w:rsidRPr="007D6432">
        <w:rPr>
          <w:rFonts w:ascii="Bookman Old Style" w:hAnsi="Bookman Old Style" w:cs="Courier"/>
          <w:i/>
          <w:iCs/>
          <w:sz w:val="24"/>
          <w:szCs w:val="24"/>
          <w:lang w:eastAsia="es-CO"/>
        </w:rPr>
        <w:t xml:space="preserve">, una </w:t>
      </w:r>
      <w:r w:rsidRPr="007D6432">
        <w:rPr>
          <w:rFonts w:ascii="Bookman Old Style" w:hAnsi="Bookman Old Style" w:cs="Courier"/>
          <w:i/>
          <w:iCs/>
          <w:sz w:val="24"/>
          <w:szCs w:val="24"/>
          <w:lang w:eastAsia="es-CO"/>
        </w:rPr>
        <w:t>obligación</w:t>
      </w:r>
      <w:r w:rsidR="00917974" w:rsidRPr="007D6432">
        <w:rPr>
          <w:rFonts w:ascii="Bookman Old Style" w:hAnsi="Bookman Old Style" w:cs="Courier"/>
          <w:i/>
          <w:iCs/>
          <w:sz w:val="24"/>
          <w:szCs w:val="24"/>
          <w:lang w:eastAsia="es-CO"/>
        </w:rPr>
        <w:t>, de las siguientes</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reservas técnicas</w:t>
      </w:r>
      <w:r w:rsidRPr="007D6432">
        <w:rPr>
          <w:rFonts w:ascii="Bookman Old Style" w:hAnsi="Bookman Old Style" w:cs="Courier"/>
          <w:i/>
          <w:iCs/>
          <w:sz w:val="24"/>
          <w:szCs w:val="24"/>
          <w:lang w:eastAsia="es-CO"/>
        </w:rPr>
        <w:t>:</w:t>
      </w:r>
      <w:r w:rsidR="00917974" w:rsidRPr="007D6432">
        <w:rPr>
          <w:rFonts w:ascii="Bookman Old Style" w:hAnsi="Bookman Old Style" w:cs="Courier"/>
          <w:i/>
          <w:iCs/>
          <w:sz w:val="24"/>
          <w:szCs w:val="24"/>
          <w:lang w:eastAsia="es-CO"/>
        </w:rPr>
        <w:t xml:space="preserve"> reserva</w:t>
      </w:r>
      <w:r w:rsidRPr="007D6432">
        <w:rPr>
          <w:rFonts w:ascii="Bookman Old Style" w:hAnsi="Bookman Old Style" w:cs="Courier"/>
          <w:i/>
          <w:iCs/>
          <w:sz w:val="24"/>
          <w:szCs w:val="24"/>
          <w:lang w:eastAsia="es-CO"/>
        </w:rPr>
        <w:t xml:space="preserve"> de riesgo</w:t>
      </w:r>
      <w:r w:rsidR="00917974" w:rsidRPr="007D6432">
        <w:rPr>
          <w:rFonts w:ascii="Bookman Old Style" w:hAnsi="Bookman Old Style" w:cs="Courier"/>
          <w:i/>
          <w:iCs/>
          <w:sz w:val="24"/>
          <w:szCs w:val="24"/>
          <w:lang w:eastAsia="es-CO"/>
        </w:rPr>
        <w:t xml:space="preserve"> en curso, reserva</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matemática, reserva para siniestros pendientes y reservas de desviación de</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siniestralidad,</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 xml:space="preserve">aunado a otras reservas técnicas que se requieren dependiendo de la </w:t>
      </w:r>
      <w:r w:rsidRPr="007D6432">
        <w:rPr>
          <w:rFonts w:ascii="Bookman Old Style" w:hAnsi="Bookman Old Style" w:cs="Courier"/>
          <w:i/>
          <w:iCs/>
          <w:sz w:val="24"/>
          <w:szCs w:val="24"/>
          <w:lang w:eastAsia="es-CO"/>
        </w:rPr>
        <w:t>explotación</w:t>
      </w:r>
      <w:r w:rsidR="00917974" w:rsidRPr="007D6432">
        <w:rPr>
          <w:rFonts w:ascii="Bookman Old Style" w:hAnsi="Bookman Old Style" w:cs="Courier"/>
          <w:i/>
          <w:iCs/>
          <w:sz w:val="24"/>
          <w:szCs w:val="24"/>
          <w:lang w:eastAsia="es-CO"/>
        </w:rPr>
        <w:t xml:space="preserve"> de los ramos</w:t>
      </w:r>
      <w:r w:rsidRPr="007D6432">
        <w:rPr>
          <w:rFonts w:ascii="Bookman Old Style" w:hAnsi="Bookman Old Style" w:cs="Courier"/>
          <w:i/>
          <w:iCs/>
          <w:sz w:val="24"/>
          <w:szCs w:val="24"/>
          <w:lang w:eastAsia="es-CO"/>
        </w:rPr>
        <w:t>.</w:t>
      </w:r>
    </w:p>
    <w:p w14:paraId="332ADC48" w14:textId="77777777" w:rsidR="00A633DE" w:rsidRPr="007D6432" w:rsidRDefault="00A633DE" w:rsidP="007D6432">
      <w:pPr>
        <w:autoSpaceDE w:val="0"/>
        <w:autoSpaceDN w:val="0"/>
        <w:adjustRightInd w:val="0"/>
        <w:spacing w:after="0"/>
        <w:ind w:left="709"/>
        <w:rPr>
          <w:rFonts w:ascii="Bookman Old Style" w:hAnsi="Bookman Old Style" w:cs="Courier"/>
          <w:i/>
          <w:iCs/>
          <w:sz w:val="24"/>
          <w:szCs w:val="24"/>
          <w:lang w:eastAsia="es-CO"/>
        </w:rPr>
      </w:pPr>
    </w:p>
    <w:p w14:paraId="42EC1B30" w14:textId="051B4532" w:rsidR="00917974" w:rsidRPr="007D6432" w:rsidRDefault="00917974" w:rsidP="007D6432">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Ahora, en atención a la definición de valor de rescate, en el caso para estudio que se cita en</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un concepto de la Superfinanciera y de las</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normas que </w:t>
      </w:r>
      <w:r w:rsidR="00FC4B0C" w:rsidRPr="007D6432">
        <w:rPr>
          <w:rFonts w:ascii="Bookman Old Style" w:hAnsi="Bookman Old Style" w:cs="Courier"/>
          <w:i/>
          <w:iCs/>
          <w:sz w:val="24"/>
          <w:szCs w:val="24"/>
          <w:lang w:eastAsia="es-CO"/>
        </w:rPr>
        <w:t>regulan</w:t>
      </w:r>
      <w:r w:rsidRPr="007D6432">
        <w:rPr>
          <w:rFonts w:ascii="Bookman Old Style" w:hAnsi="Bookman Old Style" w:cs="Courier"/>
          <w:i/>
          <w:iCs/>
          <w:sz w:val="24"/>
          <w:szCs w:val="24"/>
          <w:lang w:eastAsia="es-CO"/>
        </w:rPr>
        <w:t xml:space="preserve"> el </w:t>
      </w:r>
      <w:r w:rsidR="00FC4B0C" w:rsidRPr="007D6432">
        <w:rPr>
          <w:rFonts w:ascii="Bookman Old Style" w:hAnsi="Bookman Old Style" w:cs="Courier"/>
          <w:i/>
          <w:iCs/>
          <w:sz w:val="24"/>
          <w:szCs w:val="24"/>
          <w:lang w:eastAsia="es-CO"/>
        </w:rPr>
        <w:t>artículo</w:t>
      </w:r>
      <w:r w:rsidRPr="007D6432">
        <w:rPr>
          <w:rFonts w:ascii="Bookman Old Style" w:hAnsi="Bookman Old Style" w:cs="Courier"/>
          <w:i/>
          <w:iCs/>
          <w:sz w:val="24"/>
          <w:szCs w:val="24"/>
          <w:lang w:eastAsia="es-CO"/>
        </w:rPr>
        <w:t xml:space="preserve"> de las</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reservas, se define como valor de rescate el que corresponde percibir al </w:t>
      </w:r>
      <w:r w:rsidR="00FC4B0C" w:rsidRPr="007D6432">
        <w:rPr>
          <w:rFonts w:ascii="Bookman Old Style" w:hAnsi="Bookman Old Style" w:cs="Courier"/>
          <w:i/>
          <w:iCs/>
          <w:sz w:val="24"/>
          <w:szCs w:val="24"/>
          <w:lang w:eastAsia="es-CO"/>
        </w:rPr>
        <w:t>asegurado</w:t>
      </w:r>
      <w:r w:rsidRPr="007D6432">
        <w:rPr>
          <w:rFonts w:ascii="Bookman Old Style" w:hAnsi="Bookman Old Style" w:cs="Courier"/>
          <w:i/>
          <w:iCs/>
          <w:sz w:val="24"/>
          <w:szCs w:val="24"/>
          <w:lang w:eastAsia="es-CO"/>
        </w:rPr>
        <w:t xml:space="preserve"> una ve</w:t>
      </w:r>
      <w:r w:rsidR="00FC4B0C" w:rsidRPr="007D6432">
        <w:rPr>
          <w:rFonts w:ascii="Bookman Old Style" w:hAnsi="Bookman Old Style" w:cs="Courier"/>
          <w:i/>
          <w:iCs/>
          <w:sz w:val="24"/>
          <w:szCs w:val="24"/>
          <w:lang w:eastAsia="es-CO"/>
        </w:rPr>
        <w:t>z</w:t>
      </w:r>
      <w:r w:rsidRPr="007D6432">
        <w:rPr>
          <w:rFonts w:ascii="Bookman Old Style" w:hAnsi="Bookman Old Style" w:cs="Courier"/>
          <w:i/>
          <w:iCs/>
          <w:sz w:val="24"/>
          <w:szCs w:val="24"/>
          <w:lang w:eastAsia="es-CO"/>
        </w:rPr>
        <w:t xml:space="preserve"> ha</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decidido rescindir el contrato, se compone de la reserva </w:t>
      </w:r>
      <w:r w:rsidRPr="007D6432">
        <w:rPr>
          <w:rFonts w:ascii="Bookman Old Style" w:hAnsi="Bookman Old Style" w:cs="Courier"/>
          <w:i/>
          <w:iCs/>
          <w:sz w:val="24"/>
          <w:szCs w:val="24"/>
          <w:lang w:eastAsia="es-CO"/>
        </w:rPr>
        <w:lastRenderedPageBreak/>
        <w:t>matemática que ha acumulado la</w:t>
      </w:r>
      <w:r w:rsidR="00FC4B0C" w:rsidRPr="007D6432">
        <w:rPr>
          <w:rFonts w:ascii="Bookman Old Style" w:hAnsi="Bookman Old Style" w:cs="Courier"/>
          <w:i/>
          <w:iCs/>
          <w:sz w:val="24"/>
          <w:szCs w:val="24"/>
          <w:lang w:eastAsia="es-CO"/>
        </w:rPr>
        <w:t xml:space="preserve"> póliza</w:t>
      </w:r>
      <w:r w:rsidRPr="007D6432">
        <w:rPr>
          <w:rFonts w:ascii="Bookman Old Style" w:hAnsi="Bookman Old Style" w:cs="Courier"/>
          <w:i/>
          <w:iCs/>
          <w:sz w:val="24"/>
          <w:szCs w:val="24"/>
          <w:lang w:eastAsia="es-CO"/>
        </w:rPr>
        <w:t xml:space="preserve"> hasta el momento de la terminación </w:t>
      </w:r>
      <w:r w:rsidR="00FC4B0C" w:rsidRPr="007D6432">
        <w:rPr>
          <w:rFonts w:ascii="Bookman Old Style" w:hAnsi="Bookman Old Style" w:cs="Courier"/>
          <w:i/>
          <w:iCs/>
          <w:sz w:val="24"/>
          <w:szCs w:val="24"/>
          <w:lang w:eastAsia="es-CO"/>
        </w:rPr>
        <w:t>más</w:t>
      </w:r>
      <w:r w:rsidRPr="007D6432">
        <w:rPr>
          <w:rFonts w:ascii="Bookman Old Style" w:hAnsi="Bookman Old Style" w:cs="Courier"/>
          <w:i/>
          <w:iCs/>
          <w:sz w:val="24"/>
          <w:szCs w:val="24"/>
          <w:lang w:eastAsia="es-CO"/>
        </w:rPr>
        <w:t xml:space="preserve"> los excedentes de participación o utilidad </w:t>
      </w:r>
      <w:r w:rsidR="00FC4B0C" w:rsidRPr="007D6432">
        <w:rPr>
          <w:rFonts w:ascii="Bookman Old Style" w:hAnsi="Bookman Old Style" w:cs="Courier"/>
          <w:i/>
          <w:iCs/>
          <w:sz w:val="24"/>
          <w:szCs w:val="24"/>
          <w:lang w:eastAsia="es-CO"/>
        </w:rPr>
        <w:t xml:space="preserve">por la </w:t>
      </w:r>
      <w:r w:rsidRPr="007D6432">
        <w:rPr>
          <w:rFonts w:ascii="Bookman Old Style" w:hAnsi="Bookman Old Style" w:cs="Courier"/>
          <w:i/>
          <w:iCs/>
          <w:sz w:val="24"/>
          <w:szCs w:val="24"/>
          <w:lang w:eastAsia="es-CO"/>
        </w:rPr>
        <w:t xml:space="preserve">participación en beneficios si </w:t>
      </w:r>
      <w:r w:rsidR="00FC4B0C" w:rsidRPr="007D6432">
        <w:rPr>
          <w:rFonts w:ascii="Bookman Old Style" w:hAnsi="Bookman Old Style" w:cs="Courier"/>
          <w:i/>
          <w:iCs/>
          <w:sz w:val="24"/>
          <w:szCs w:val="24"/>
          <w:lang w:eastAsia="es-CO"/>
        </w:rPr>
        <w:t>así</w:t>
      </w:r>
      <w:r w:rsidRPr="007D6432">
        <w:rPr>
          <w:rFonts w:ascii="Bookman Old Style" w:hAnsi="Bookman Old Style" w:cs="Courier"/>
          <w:i/>
          <w:iCs/>
          <w:sz w:val="24"/>
          <w:szCs w:val="24"/>
          <w:lang w:eastAsia="es-CO"/>
        </w:rPr>
        <w:t xml:space="preserve"> lo contempla la póliza, menos algunos gastos que debe deducir</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la asegu</w:t>
      </w:r>
      <w:r w:rsidR="00FC4B0C" w:rsidRPr="007D6432">
        <w:rPr>
          <w:rFonts w:ascii="Bookman Old Style" w:hAnsi="Bookman Old Style" w:cs="Courier"/>
          <w:i/>
          <w:iCs/>
          <w:sz w:val="24"/>
          <w:szCs w:val="24"/>
          <w:lang w:eastAsia="es-CO"/>
        </w:rPr>
        <w:t>r</w:t>
      </w:r>
      <w:r w:rsidRPr="007D6432">
        <w:rPr>
          <w:rFonts w:ascii="Bookman Old Style" w:hAnsi="Bookman Old Style" w:cs="Courier"/>
          <w:i/>
          <w:iCs/>
          <w:sz w:val="24"/>
          <w:szCs w:val="24"/>
          <w:lang w:eastAsia="es-CO"/>
        </w:rPr>
        <w:t xml:space="preserve">adora como los son los gastos de </w:t>
      </w:r>
      <w:r w:rsidR="00FC4B0C" w:rsidRPr="007D6432">
        <w:rPr>
          <w:rFonts w:ascii="Bookman Old Style" w:hAnsi="Bookman Old Style" w:cs="Courier"/>
          <w:i/>
          <w:iCs/>
          <w:sz w:val="24"/>
          <w:szCs w:val="24"/>
          <w:lang w:eastAsia="es-CO"/>
        </w:rPr>
        <w:t xml:space="preserve">adquisición </w:t>
      </w:r>
      <w:r w:rsidRPr="007D6432">
        <w:rPr>
          <w:rFonts w:ascii="Bookman Old Style" w:hAnsi="Bookman Old Style" w:cs="Courier"/>
          <w:i/>
          <w:iCs/>
          <w:sz w:val="24"/>
          <w:szCs w:val="24"/>
          <w:lang w:eastAsia="es-CO"/>
        </w:rPr>
        <w:t>y los gastos de</w:t>
      </w:r>
      <w:r w:rsidR="00FC4B0C" w:rsidRPr="007D6432">
        <w:rPr>
          <w:rFonts w:ascii="Bookman Old Style" w:hAnsi="Bookman Old Style" w:cs="Courier"/>
          <w:i/>
          <w:iCs/>
          <w:sz w:val="24"/>
          <w:szCs w:val="24"/>
          <w:lang w:eastAsia="es-CO"/>
        </w:rPr>
        <w:t xml:space="preserve"> gestión.</w:t>
      </w:r>
      <w:r w:rsidRPr="007D6432">
        <w:rPr>
          <w:rFonts w:ascii="Bookman Old Style" w:hAnsi="Bookman Old Style" w:cs="Courier"/>
          <w:i/>
          <w:iCs/>
          <w:sz w:val="24"/>
          <w:szCs w:val="24"/>
          <w:lang w:eastAsia="es-CO"/>
        </w:rPr>
        <w:t xml:space="preserve"> De igual</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forma,</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en el concepto y </w:t>
      </w:r>
      <w:r w:rsidR="00FC4B0C" w:rsidRPr="007D6432">
        <w:rPr>
          <w:rFonts w:ascii="Bookman Old Style" w:hAnsi="Bookman Old Style" w:cs="Courier"/>
          <w:i/>
          <w:iCs/>
          <w:sz w:val="24"/>
          <w:szCs w:val="24"/>
          <w:lang w:eastAsia="es-CO"/>
        </w:rPr>
        <w:t xml:space="preserve">en </w:t>
      </w:r>
      <w:r w:rsidRPr="007D6432">
        <w:rPr>
          <w:rFonts w:ascii="Bookman Old Style" w:hAnsi="Bookman Old Style" w:cs="Courier"/>
          <w:i/>
          <w:iCs/>
          <w:sz w:val="24"/>
          <w:szCs w:val="24"/>
          <w:lang w:eastAsia="es-CO"/>
        </w:rPr>
        <w:t xml:space="preserve">los </w:t>
      </w:r>
      <w:r w:rsidR="00FC4B0C" w:rsidRPr="007D6432">
        <w:rPr>
          <w:rFonts w:ascii="Bookman Old Style" w:hAnsi="Bookman Old Style" w:cs="Courier"/>
          <w:i/>
          <w:iCs/>
          <w:sz w:val="24"/>
          <w:szCs w:val="24"/>
          <w:lang w:eastAsia="es-CO"/>
        </w:rPr>
        <w:t>defectos</w:t>
      </w:r>
      <w:r w:rsidRPr="007D6432">
        <w:rPr>
          <w:rFonts w:ascii="Bookman Old Style" w:hAnsi="Bookman Old Style" w:cs="Courier"/>
          <w:i/>
          <w:iCs/>
          <w:sz w:val="24"/>
          <w:szCs w:val="24"/>
          <w:lang w:eastAsia="es-CO"/>
        </w:rPr>
        <w:t xml:space="preserve"> reglamentarios también</w:t>
      </w:r>
      <w:r w:rsidR="00FC4B0C"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se habla de la reserva para </w:t>
      </w:r>
      <w:r w:rsidR="00FC4B0C" w:rsidRPr="007D6432">
        <w:rPr>
          <w:rFonts w:ascii="Bookman Old Style" w:hAnsi="Bookman Old Style" w:cs="Courier"/>
          <w:i/>
          <w:iCs/>
          <w:sz w:val="24"/>
          <w:szCs w:val="24"/>
          <w:lang w:eastAsia="es-CO"/>
        </w:rPr>
        <w:t>riesgos</w:t>
      </w:r>
      <w:r w:rsidRPr="007D6432">
        <w:rPr>
          <w:rFonts w:ascii="Bookman Old Style" w:hAnsi="Bookman Old Style" w:cs="Courier"/>
          <w:i/>
          <w:iCs/>
          <w:sz w:val="24"/>
          <w:szCs w:val="24"/>
          <w:lang w:eastAsia="es-CO"/>
        </w:rPr>
        <w:t xml:space="preserve"> en</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curso, que consiste en cuando se ha</w:t>
      </w:r>
      <w:r w:rsidR="00FC4B0C" w:rsidRPr="007D6432">
        <w:rPr>
          <w:rFonts w:ascii="Bookman Old Style" w:hAnsi="Bookman Old Style" w:cs="Courier"/>
          <w:i/>
          <w:iCs/>
          <w:sz w:val="24"/>
          <w:szCs w:val="24"/>
          <w:lang w:eastAsia="es-CO"/>
        </w:rPr>
        <w:t xml:space="preserve"> emitido pólizas</w:t>
      </w:r>
      <w:r w:rsidRPr="007D6432">
        <w:rPr>
          <w:rFonts w:ascii="Bookman Old Style" w:hAnsi="Bookman Old Style" w:cs="Courier"/>
          <w:i/>
          <w:iCs/>
          <w:sz w:val="24"/>
          <w:szCs w:val="24"/>
          <w:lang w:eastAsia="es-CO"/>
        </w:rPr>
        <w:t xml:space="preserve"> durante todo el año y cobradas </w:t>
      </w:r>
      <w:r w:rsidR="00FC4B0C" w:rsidRPr="007D6432">
        <w:rPr>
          <w:rFonts w:ascii="Bookman Old Style" w:hAnsi="Bookman Old Style" w:cs="Courier"/>
          <w:i/>
          <w:iCs/>
          <w:sz w:val="24"/>
          <w:szCs w:val="24"/>
          <w:lang w:eastAsia="es-CO"/>
        </w:rPr>
        <w:t xml:space="preserve">primas </w:t>
      </w:r>
      <w:r w:rsidRPr="007D6432">
        <w:rPr>
          <w:rFonts w:ascii="Bookman Old Style" w:hAnsi="Bookman Old Style" w:cs="Courier"/>
          <w:i/>
          <w:iCs/>
          <w:sz w:val="24"/>
          <w:szCs w:val="24"/>
          <w:lang w:eastAsia="es-CO"/>
        </w:rPr>
        <w:t xml:space="preserve">anuales, al 31 de diciembre, </w:t>
      </w:r>
      <w:r w:rsidR="00FC4B0C" w:rsidRPr="007D6432">
        <w:rPr>
          <w:rFonts w:ascii="Bookman Old Style" w:hAnsi="Bookman Old Style" w:cs="Courier"/>
          <w:i/>
          <w:iCs/>
          <w:sz w:val="24"/>
          <w:szCs w:val="24"/>
          <w:lang w:eastAsia="es-CO"/>
        </w:rPr>
        <w:t>habrá</w:t>
      </w:r>
      <w:r w:rsidRPr="007D6432">
        <w:rPr>
          <w:rFonts w:ascii="Bookman Old Style" w:hAnsi="Bookman Old Style" w:cs="Courier"/>
          <w:i/>
          <w:iCs/>
          <w:sz w:val="24"/>
          <w:szCs w:val="24"/>
          <w:lang w:eastAsia="es-CO"/>
        </w:rPr>
        <w:t xml:space="preserve"> una</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cantidad de </w:t>
      </w:r>
      <w:r w:rsidR="00FC4B0C" w:rsidRPr="007D6432">
        <w:rPr>
          <w:rFonts w:ascii="Bookman Old Style" w:hAnsi="Bookman Old Style" w:cs="Courier"/>
          <w:i/>
          <w:iCs/>
          <w:sz w:val="24"/>
          <w:szCs w:val="24"/>
          <w:lang w:eastAsia="es-CO"/>
        </w:rPr>
        <w:t>primas</w:t>
      </w:r>
      <w:r w:rsidRPr="007D6432">
        <w:rPr>
          <w:rFonts w:ascii="Bookman Old Style" w:hAnsi="Bookman Old Style" w:cs="Courier"/>
          <w:i/>
          <w:iCs/>
          <w:sz w:val="24"/>
          <w:szCs w:val="24"/>
          <w:lang w:eastAsia="es-CO"/>
        </w:rPr>
        <w:t xml:space="preserve"> realmente ganadas por la</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proporción del </w:t>
      </w:r>
      <w:r w:rsidR="00FC4B0C" w:rsidRPr="007D6432">
        <w:rPr>
          <w:rFonts w:ascii="Bookman Old Style" w:hAnsi="Bookman Old Style" w:cs="Courier"/>
          <w:i/>
          <w:iCs/>
          <w:sz w:val="24"/>
          <w:szCs w:val="24"/>
          <w:lang w:eastAsia="es-CO"/>
        </w:rPr>
        <w:t>riesgo</w:t>
      </w:r>
      <w:r w:rsidRPr="007D6432">
        <w:rPr>
          <w:rFonts w:ascii="Bookman Old Style" w:hAnsi="Bookman Old Style" w:cs="Courier"/>
          <w:i/>
          <w:iCs/>
          <w:sz w:val="24"/>
          <w:szCs w:val="24"/>
          <w:lang w:eastAsia="es-CO"/>
        </w:rPr>
        <w:t xml:space="preserve"> </w:t>
      </w:r>
      <w:r w:rsidR="00FC4B0C" w:rsidRPr="007D6432">
        <w:rPr>
          <w:rFonts w:ascii="Bookman Old Style" w:hAnsi="Bookman Old Style" w:cs="Courier"/>
          <w:i/>
          <w:iCs/>
          <w:sz w:val="24"/>
          <w:szCs w:val="24"/>
          <w:lang w:eastAsia="es-CO"/>
        </w:rPr>
        <w:t>corrido</w:t>
      </w:r>
      <w:r w:rsidRPr="007D6432">
        <w:rPr>
          <w:rFonts w:ascii="Bookman Old Style" w:hAnsi="Bookman Old Style" w:cs="Courier"/>
          <w:i/>
          <w:iCs/>
          <w:sz w:val="24"/>
          <w:szCs w:val="24"/>
          <w:lang w:eastAsia="es-CO"/>
        </w:rPr>
        <w:t xml:space="preserve"> hasta entonces, y otra cantidad que pertenece a </w:t>
      </w:r>
      <w:r w:rsidR="00FC4B0C" w:rsidRPr="007D6432">
        <w:rPr>
          <w:rFonts w:ascii="Bookman Old Style" w:hAnsi="Bookman Old Style" w:cs="Courier"/>
          <w:i/>
          <w:iCs/>
          <w:sz w:val="24"/>
          <w:szCs w:val="24"/>
          <w:lang w:eastAsia="es-CO"/>
        </w:rPr>
        <w:t xml:space="preserve">riesgos por cubrir </w:t>
      </w:r>
      <w:r w:rsidRPr="007D6432">
        <w:rPr>
          <w:rFonts w:ascii="Bookman Old Style" w:hAnsi="Bookman Old Style" w:cs="Courier"/>
          <w:i/>
          <w:iCs/>
          <w:sz w:val="24"/>
          <w:szCs w:val="24"/>
          <w:lang w:eastAsia="es-CO"/>
        </w:rPr>
        <w:t xml:space="preserve">en adelante, es decir, a </w:t>
      </w:r>
      <w:r w:rsidR="00FC4B0C" w:rsidRPr="007D6432">
        <w:rPr>
          <w:rFonts w:ascii="Bookman Old Style" w:hAnsi="Bookman Old Style" w:cs="Courier"/>
          <w:i/>
          <w:iCs/>
          <w:sz w:val="24"/>
          <w:szCs w:val="24"/>
          <w:lang w:eastAsia="es-CO"/>
        </w:rPr>
        <w:t>partir</w:t>
      </w:r>
      <w:r w:rsidRPr="007D6432">
        <w:rPr>
          <w:rFonts w:ascii="Bookman Old Style" w:hAnsi="Bookman Old Style" w:cs="Courier"/>
          <w:i/>
          <w:iCs/>
          <w:sz w:val="24"/>
          <w:szCs w:val="24"/>
          <w:lang w:eastAsia="es-CO"/>
        </w:rPr>
        <w:t xml:space="preserve"> del</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w:t>
      </w:r>
      <w:r w:rsidR="00FC4B0C" w:rsidRPr="007D6432">
        <w:rPr>
          <w:rFonts w:ascii="Bookman Old Style" w:hAnsi="Bookman Old Style" w:cs="Courier"/>
          <w:i/>
          <w:iCs/>
          <w:sz w:val="24"/>
          <w:szCs w:val="24"/>
          <w:lang w:eastAsia="es-CO"/>
        </w:rPr>
        <w:t>ri</w:t>
      </w:r>
      <w:r w:rsidRPr="007D6432">
        <w:rPr>
          <w:rFonts w:ascii="Bookman Old Style" w:hAnsi="Bookman Old Style" w:cs="Courier"/>
          <w:i/>
          <w:iCs/>
          <w:sz w:val="24"/>
          <w:szCs w:val="24"/>
          <w:lang w:eastAsia="es-CO"/>
        </w:rPr>
        <w:t>mero de enero del</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próxim</w:t>
      </w:r>
      <w:r w:rsidR="00FC4B0C" w:rsidRPr="007D6432">
        <w:rPr>
          <w:rFonts w:ascii="Bookman Old Style" w:hAnsi="Bookman Old Style" w:cs="Courier"/>
          <w:i/>
          <w:iCs/>
          <w:sz w:val="24"/>
          <w:szCs w:val="24"/>
          <w:lang w:eastAsia="es-CO"/>
        </w:rPr>
        <w:t>o</w:t>
      </w:r>
      <w:r w:rsidRPr="007D6432">
        <w:rPr>
          <w:rFonts w:ascii="Bookman Old Style" w:hAnsi="Bookman Old Style" w:cs="Courier"/>
          <w:i/>
          <w:iCs/>
          <w:sz w:val="24"/>
          <w:szCs w:val="24"/>
          <w:lang w:eastAsia="es-CO"/>
        </w:rPr>
        <w:t xml:space="preserve"> año</w:t>
      </w:r>
      <w:r w:rsidR="00FC4B0C" w:rsidRPr="007D6432">
        <w:rPr>
          <w:rFonts w:ascii="Bookman Old Style" w:hAnsi="Bookman Old Style" w:cs="Courier"/>
          <w:i/>
          <w:iCs/>
          <w:sz w:val="24"/>
          <w:szCs w:val="24"/>
          <w:lang w:eastAsia="es-CO"/>
        </w:rPr>
        <w:t>.</w:t>
      </w:r>
    </w:p>
    <w:p w14:paraId="680A2273" w14:textId="77777777" w:rsidR="00FC4B0C" w:rsidRPr="007D6432" w:rsidRDefault="00FC4B0C" w:rsidP="007D6432">
      <w:pPr>
        <w:autoSpaceDE w:val="0"/>
        <w:autoSpaceDN w:val="0"/>
        <w:adjustRightInd w:val="0"/>
        <w:spacing w:after="0"/>
        <w:ind w:left="709"/>
        <w:rPr>
          <w:rFonts w:ascii="Bookman Old Style" w:hAnsi="Bookman Old Style" w:cs="Courier"/>
          <w:i/>
          <w:iCs/>
          <w:sz w:val="24"/>
          <w:szCs w:val="24"/>
          <w:lang w:eastAsia="es-CO"/>
        </w:rPr>
      </w:pPr>
    </w:p>
    <w:p w14:paraId="4FBC79F4" w14:textId="6A2F3679" w:rsidR="00917974" w:rsidRPr="007D6432" w:rsidRDefault="00917974" w:rsidP="007D6432">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As</w:t>
      </w:r>
      <w:r w:rsidR="00FC4B0C" w:rsidRPr="007D6432">
        <w:rPr>
          <w:rFonts w:ascii="Bookman Old Style" w:hAnsi="Bookman Old Style" w:cs="Courier"/>
          <w:i/>
          <w:iCs/>
          <w:sz w:val="24"/>
          <w:szCs w:val="24"/>
          <w:lang w:eastAsia="es-CO"/>
        </w:rPr>
        <w:t>í</w:t>
      </w:r>
      <w:r w:rsidRPr="007D6432">
        <w:rPr>
          <w:rFonts w:ascii="Bookman Old Style" w:hAnsi="Bookman Old Style" w:cs="Courier"/>
          <w:i/>
          <w:iCs/>
          <w:sz w:val="24"/>
          <w:szCs w:val="24"/>
          <w:lang w:eastAsia="es-CO"/>
        </w:rPr>
        <w:t xml:space="preserve"> mismo, debemos tener en cuenta que </w:t>
      </w:r>
      <w:r w:rsidR="00FC4B0C" w:rsidRPr="007D6432">
        <w:rPr>
          <w:rFonts w:ascii="Bookman Old Style" w:hAnsi="Bookman Old Style" w:cs="Courier"/>
          <w:i/>
          <w:iCs/>
          <w:sz w:val="24"/>
          <w:szCs w:val="24"/>
          <w:lang w:eastAsia="es-CO"/>
        </w:rPr>
        <w:t>la póliza</w:t>
      </w:r>
      <w:r w:rsidRPr="007D6432">
        <w:rPr>
          <w:rFonts w:ascii="Bookman Old Style" w:hAnsi="Bookman Old Style" w:cs="Courier"/>
          <w:i/>
          <w:iCs/>
          <w:sz w:val="24"/>
          <w:szCs w:val="24"/>
          <w:lang w:eastAsia="es-CO"/>
        </w:rPr>
        <w:t xml:space="preserve"> objeto de estudio genera reserva matemática</w:t>
      </w:r>
      <w:r w:rsidR="00FC4B0C"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la cual da o</w:t>
      </w:r>
      <w:r w:rsidR="00FC4B0C" w:rsidRPr="007D6432">
        <w:rPr>
          <w:rFonts w:ascii="Bookman Old Style" w:hAnsi="Bookman Old Style" w:cs="Courier"/>
          <w:i/>
          <w:iCs/>
          <w:sz w:val="24"/>
          <w:szCs w:val="24"/>
          <w:lang w:eastAsia="es-CO"/>
        </w:rPr>
        <w:t>ri</w:t>
      </w:r>
      <w:r w:rsidRPr="007D6432">
        <w:rPr>
          <w:rFonts w:ascii="Bookman Old Style" w:hAnsi="Bookman Old Style" w:cs="Courier"/>
          <w:i/>
          <w:iCs/>
          <w:sz w:val="24"/>
          <w:szCs w:val="24"/>
          <w:lang w:eastAsia="es-CO"/>
        </w:rPr>
        <w:t xml:space="preserve">gen a </w:t>
      </w:r>
      <w:r w:rsidR="00FC4B0C" w:rsidRPr="007D6432">
        <w:rPr>
          <w:rFonts w:ascii="Bookman Old Style" w:hAnsi="Bookman Old Style" w:cs="Courier"/>
          <w:i/>
          <w:iCs/>
          <w:sz w:val="24"/>
          <w:szCs w:val="24"/>
          <w:lang w:eastAsia="es-CO"/>
        </w:rPr>
        <w:t>la</w:t>
      </w:r>
      <w:r w:rsidRPr="007D6432">
        <w:rPr>
          <w:rFonts w:ascii="Bookman Old Style" w:hAnsi="Bookman Old Style" w:cs="Courier"/>
          <w:i/>
          <w:iCs/>
          <w:sz w:val="24"/>
          <w:szCs w:val="24"/>
          <w:lang w:eastAsia="es-CO"/>
        </w:rPr>
        <w:t xml:space="preserve"> generación de valores de cesión o rescate a que alude el </w:t>
      </w:r>
      <w:r w:rsidR="00A74233" w:rsidRPr="007D6432">
        <w:rPr>
          <w:rFonts w:ascii="Bookman Old Style" w:hAnsi="Bookman Old Style" w:cs="Courier"/>
          <w:i/>
          <w:iCs/>
          <w:sz w:val="24"/>
          <w:szCs w:val="24"/>
          <w:lang w:eastAsia="es-CO"/>
        </w:rPr>
        <w:t>artículo</w:t>
      </w:r>
      <w:r w:rsidRPr="007D6432">
        <w:rPr>
          <w:rFonts w:ascii="Bookman Old Style" w:hAnsi="Bookman Old Style" w:cs="Courier"/>
          <w:i/>
          <w:iCs/>
          <w:sz w:val="24"/>
          <w:szCs w:val="24"/>
          <w:lang w:eastAsia="es-CO"/>
        </w:rPr>
        <w:t xml:space="preserve"> 1</w:t>
      </w:r>
      <w:r w:rsidR="00A74233" w:rsidRPr="007D6432">
        <w:rPr>
          <w:rFonts w:ascii="Bookman Old Style" w:hAnsi="Bookman Old Style" w:cs="Courier"/>
          <w:i/>
          <w:iCs/>
          <w:sz w:val="24"/>
          <w:szCs w:val="24"/>
          <w:lang w:eastAsia="es-CO"/>
        </w:rPr>
        <w:t>1</w:t>
      </w:r>
      <w:r w:rsidRPr="007D6432">
        <w:rPr>
          <w:rFonts w:ascii="Bookman Old Style" w:hAnsi="Bookman Old Style" w:cs="Courier"/>
          <w:i/>
          <w:iCs/>
          <w:sz w:val="24"/>
          <w:szCs w:val="24"/>
          <w:lang w:eastAsia="es-CO"/>
        </w:rPr>
        <w:t>55 del</w:t>
      </w:r>
      <w:r w:rsidR="00A74233" w:rsidRPr="007D6432">
        <w:rPr>
          <w:rFonts w:ascii="Bookman Old Style" w:hAnsi="Bookman Old Style" w:cs="Courier"/>
          <w:i/>
          <w:iCs/>
          <w:sz w:val="24"/>
          <w:szCs w:val="24"/>
          <w:lang w:eastAsia="es-CO"/>
        </w:rPr>
        <w:t xml:space="preserve"> código</w:t>
      </w:r>
      <w:r w:rsidRPr="007D6432">
        <w:rPr>
          <w:rFonts w:ascii="Bookman Old Style" w:hAnsi="Bookman Old Style" w:cs="Courier"/>
          <w:i/>
          <w:iCs/>
          <w:sz w:val="24"/>
          <w:szCs w:val="24"/>
          <w:lang w:eastAsia="es-CO"/>
        </w:rPr>
        <w:t xml:space="preserve"> de comercio</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que </w:t>
      </w:r>
      <w:r w:rsidR="00A74233" w:rsidRPr="007D6432">
        <w:rPr>
          <w:rFonts w:ascii="Bookman Old Style" w:hAnsi="Bookman Old Style" w:cs="Courier"/>
          <w:i/>
          <w:iCs/>
          <w:sz w:val="24"/>
          <w:szCs w:val="24"/>
          <w:lang w:eastAsia="es-CO"/>
        </w:rPr>
        <w:t xml:space="preserve">igualmente </w:t>
      </w:r>
      <w:r w:rsidRPr="007D6432">
        <w:rPr>
          <w:rFonts w:ascii="Bookman Old Style" w:hAnsi="Bookman Old Style" w:cs="Courier"/>
          <w:i/>
          <w:iCs/>
          <w:sz w:val="24"/>
          <w:szCs w:val="24"/>
          <w:lang w:eastAsia="es-CO"/>
        </w:rPr>
        <w:t xml:space="preserve">se </w:t>
      </w:r>
      <w:r w:rsidR="00A74233" w:rsidRPr="007D6432">
        <w:rPr>
          <w:rFonts w:ascii="Bookman Old Style" w:hAnsi="Bookman Old Style" w:cs="Courier"/>
          <w:i/>
          <w:iCs/>
          <w:sz w:val="24"/>
          <w:szCs w:val="24"/>
          <w:lang w:eastAsia="es-CO"/>
        </w:rPr>
        <w:t>dejó</w:t>
      </w:r>
      <w:r w:rsidRPr="007D6432">
        <w:rPr>
          <w:rFonts w:ascii="Bookman Old Style" w:hAnsi="Bookman Old Style" w:cs="Courier"/>
          <w:i/>
          <w:iCs/>
          <w:sz w:val="24"/>
          <w:szCs w:val="24"/>
          <w:lang w:eastAsia="es-CO"/>
        </w:rPr>
        <w:t xml:space="preserve"> de aplicar</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por </w:t>
      </w:r>
      <w:r w:rsidR="00A74233" w:rsidRPr="007D6432">
        <w:rPr>
          <w:rFonts w:ascii="Bookman Old Style" w:hAnsi="Bookman Old Style" w:cs="Courier"/>
          <w:i/>
          <w:iCs/>
          <w:sz w:val="24"/>
          <w:szCs w:val="24"/>
          <w:lang w:eastAsia="es-CO"/>
        </w:rPr>
        <w:t>el juez</w:t>
      </w:r>
      <w:r w:rsidRPr="007D6432">
        <w:rPr>
          <w:rFonts w:ascii="Bookman Old Style" w:hAnsi="Bookman Old Style" w:cs="Courier"/>
          <w:i/>
          <w:iCs/>
          <w:sz w:val="24"/>
          <w:szCs w:val="24"/>
          <w:lang w:eastAsia="es-CO"/>
        </w:rPr>
        <w:t xml:space="preserve"> de </w:t>
      </w:r>
      <w:r w:rsidR="00A74233" w:rsidRPr="007D6432">
        <w:rPr>
          <w:rFonts w:ascii="Bookman Old Style" w:hAnsi="Bookman Old Style" w:cs="Courier"/>
          <w:i/>
          <w:iCs/>
          <w:sz w:val="24"/>
          <w:szCs w:val="24"/>
          <w:lang w:eastAsia="es-CO"/>
        </w:rPr>
        <w:t>primera</w:t>
      </w:r>
      <w:r w:rsidRPr="007D6432">
        <w:rPr>
          <w:rFonts w:ascii="Bookman Old Style" w:hAnsi="Bookman Old Style" w:cs="Courier"/>
          <w:i/>
          <w:iCs/>
          <w:sz w:val="24"/>
          <w:szCs w:val="24"/>
          <w:lang w:eastAsia="es-CO"/>
        </w:rPr>
        <w:t xml:space="preserve"> instancia</w:t>
      </w:r>
      <w:r w:rsidR="00A74233" w:rsidRPr="007D6432">
        <w:rPr>
          <w:rFonts w:ascii="Bookman Old Style" w:hAnsi="Bookman Old Style" w:cs="Courier"/>
          <w:i/>
          <w:iCs/>
          <w:sz w:val="24"/>
          <w:szCs w:val="24"/>
          <w:lang w:eastAsia="es-CO"/>
        </w:rPr>
        <w:t>.</w:t>
      </w:r>
    </w:p>
    <w:p w14:paraId="142D86CF" w14:textId="77777777" w:rsidR="00A74233" w:rsidRPr="007D6432" w:rsidRDefault="00A74233" w:rsidP="007D6432">
      <w:pPr>
        <w:autoSpaceDE w:val="0"/>
        <w:autoSpaceDN w:val="0"/>
        <w:adjustRightInd w:val="0"/>
        <w:spacing w:after="0"/>
        <w:ind w:left="709"/>
        <w:rPr>
          <w:rFonts w:ascii="Bookman Old Style" w:hAnsi="Bookman Old Style" w:cs="Courier"/>
          <w:i/>
          <w:iCs/>
          <w:sz w:val="24"/>
          <w:szCs w:val="24"/>
          <w:lang w:eastAsia="es-CO"/>
        </w:rPr>
      </w:pPr>
    </w:p>
    <w:p w14:paraId="56C8C500" w14:textId="08A3DED4" w:rsidR="00A74233" w:rsidRPr="007D6432" w:rsidRDefault="00917974" w:rsidP="000156CC">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Debemos acotar que se debe tener</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por reserva matemática</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tal como lo ha definido los decretos</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reglam</w:t>
      </w:r>
      <w:r w:rsidR="00A74233" w:rsidRPr="007D6432">
        <w:rPr>
          <w:rFonts w:ascii="Bookman Old Style" w:hAnsi="Bookman Old Style" w:cs="Courier"/>
          <w:i/>
          <w:iCs/>
          <w:sz w:val="24"/>
          <w:szCs w:val="24"/>
          <w:lang w:eastAsia="es-CO"/>
        </w:rPr>
        <w:t>e</w:t>
      </w:r>
      <w:r w:rsidRPr="007D6432">
        <w:rPr>
          <w:rFonts w:ascii="Bookman Old Style" w:hAnsi="Bookman Old Style" w:cs="Courier"/>
          <w:i/>
          <w:iCs/>
          <w:sz w:val="24"/>
          <w:szCs w:val="24"/>
          <w:lang w:eastAsia="es-CO"/>
        </w:rPr>
        <w:t>nta</w:t>
      </w:r>
      <w:r w:rsidR="00A74233" w:rsidRPr="007D6432">
        <w:rPr>
          <w:rFonts w:ascii="Bookman Old Style" w:hAnsi="Bookman Old Style" w:cs="Courier"/>
          <w:i/>
          <w:iCs/>
          <w:sz w:val="24"/>
          <w:szCs w:val="24"/>
          <w:lang w:eastAsia="es-CO"/>
        </w:rPr>
        <w:t>ri</w:t>
      </w:r>
      <w:r w:rsidRPr="007D6432">
        <w:rPr>
          <w:rFonts w:ascii="Bookman Old Style" w:hAnsi="Bookman Old Style" w:cs="Courier"/>
          <w:i/>
          <w:iCs/>
          <w:sz w:val="24"/>
          <w:szCs w:val="24"/>
          <w:lang w:eastAsia="es-CO"/>
        </w:rPr>
        <w:t>os que establecieron el art</w:t>
      </w:r>
      <w:r w:rsidR="00A74233" w:rsidRPr="007D6432">
        <w:rPr>
          <w:rFonts w:ascii="Bookman Old Style" w:hAnsi="Bookman Old Style" w:cs="Courier"/>
          <w:i/>
          <w:iCs/>
          <w:sz w:val="24"/>
          <w:szCs w:val="24"/>
          <w:lang w:eastAsia="es-CO"/>
        </w:rPr>
        <w:t>í</w:t>
      </w:r>
      <w:r w:rsidRPr="007D6432">
        <w:rPr>
          <w:rFonts w:ascii="Bookman Old Style" w:hAnsi="Bookman Old Style" w:cs="Courier"/>
          <w:i/>
          <w:iCs/>
          <w:sz w:val="24"/>
          <w:szCs w:val="24"/>
          <w:lang w:eastAsia="es-CO"/>
        </w:rPr>
        <w:t xml:space="preserve">culo </w:t>
      </w:r>
      <w:r w:rsidR="00A74233" w:rsidRPr="007D6432">
        <w:rPr>
          <w:rFonts w:ascii="Bookman Old Style" w:hAnsi="Bookman Old Style" w:cs="Courier"/>
          <w:i/>
          <w:iCs/>
          <w:sz w:val="24"/>
          <w:szCs w:val="24"/>
          <w:lang w:eastAsia="es-CO"/>
        </w:rPr>
        <w:t>atrás</w:t>
      </w:r>
      <w:r w:rsidRPr="007D6432">
        <w:rPr>
          <w:rFonts w:ascii="Bookman Old Style" w:hAnsi="Bookman Old Style" w:cs="Courier"/>
          <w:i/>
          <w:iCs/>
          <w:sz w:val="24"/>
          <w:szCs w:val="24"/>
          <w:lang w:eastAsia="es-CO"/>
        </w:rPr>
        <w:t xml:space="preserve"> mencionado, que </w:t>
      </w:r>
      <w:r w:rsidR="00A74233" w:rsidRPr="007D6432">
        <w:rPr>
          <w:rFonts w:ascii="Bookman Old Style" w:hAnsi="Bookman Old Style" w:cs="Courier"/>
          <w:i/>
          <w:iCs/>
          <w:sz w:val="24"/>
          <w:szCs w:val="24"/>
          <w:lang w:eastAsia="es-CO"/>
        </w:rPr>
        <w:t>está</w:t>
      </w:r>
      <w:r w:rsidRPr="007D6432">
        <w:rPr>
          <w:rFonts w:ascii="Bookman Old Style" w:hAnsi="Bookman Old Style" w:cs="Courier"/>
          <w:i/>
          <w:iCs/>
          <w:sz w:val="24"/>
          <w:szCs w:val="24"/>
          <w:lang w:eastAsia="es-CO"/>
        </w:rPr>
        <w:t xml:space="preserve"> conformado por la</w:t>
      </w:r>
      <w:r w:rsidR="00A74233" w:rsidRPr="007D6432">
        <w:rPr>
          <w:rFonts w:ascii="Bookman Old Style" w:hAnsi="Bookman Old Style" w:cs="Courier"/>
          <w:i/>
          <w:iCs/>
          <w:sz w:val="24"/>
          <w:szCs w:val="24"/>
          <w:lang w:eastAsia="es-CO"/>
        </w:rPr>
        <w:t xml:space="preserve"> prima</w:t>
      </w:r>
      <w:r w:rsidRPr="007D6432">
        <w:rPr>
          <w:rFonts w:ascii="Bookman Old Style" w:hAnsi="Bookman Old Style" w:cs="Courier"/>
          <w:i/>
          <w:iCs/>
          <w:sz w:val="24"/>
          <w:szCs w:val="24"/>
          <w:lang w:eastAsia="es-CO"/>
        </w:rPr>
        <w:t xml:space="preserve"> pura de </w:t>
      </w:r>
      <w:r w:rsidR="00A74233" w:rsidRPr="007D6432">
        <w:rPr>
          <w:rFonts w:ascii="Bookman Old Style" w:hAnsi="Bookman Old Style" w:cs="Courier"/>
          <w:i/>
          <w:iCs/>
          <w:sz w:val="24"/>
          <w:szCs w:val="24"/>
          <w:lang w:eastAsia="es-CO"/>
        </w:rPr>
        <w:t>riesgo</w:t>
      </w:r>
      <w:r w:rsidRPr="007D6432">
        <w:rPr>
          <w:rFonts w:ascii="Bookman Old Style" w:hAnsi="Bookman Old Style" w:cs="Courier"/>
          <w:i/>
          <w:iCs/>
          <w:sz w:val="24"/>
          <w:szCs w:val="24"/>
          <w:lang w:eastAsia="es-CO"/>
        </w:rPr>
        <w:t xml:space="preserve"> </w:t>
      </w:r>
      <w:r w:rsidR="00A74233" w:rsidRPr="007D6432">
        <w:rPr>
          <w:rFonts w:ascii="Bookman Old Style" w:hAnsi="Bookman Old Style" w:cs="Courier"/>
          <w:i/>
          <w:iCs/>
          <w:sz w:val="24"/>
          <w:szCs w:val="24"/>
          <w:lang w:eastAsia="es-CO"/>
        </w:rPr>
        <w:t>más</w:t>
      </w:r>
      <w:r w:rsidRPr="007D6432">
        <w:rPr>
          <w:rFonts w:ascii="Bookman Old Style" w:hAnsi="Bookman Old Style" w:cs="Courier"/>
          <w:i/>
          <w:iCs/>
          <w:sz w:val="24"/>
          <w:szCs w:val="24"/>
          <w:lang w:eastAsia="es-CO"/>
        </w:rPr>
        <w:t xml:space="preserve"> la p</w:t>
      </w:r>
      <w:r w:rsidR="00A74233" w:rsidRPr="007D6432">
        <w:rPr>
          <w:rFonts w:ascii="Bookman Old Style" w:hAnsi="Bookman Old Style" w:cs="Courier"/>
          <w:i/>
          <w:iCs/>
          <w:sz w:val="24"/>
          <w:szCs w:val="24"/>
          <w:lang w:eastAsia="es-CO"/>
        </w:rPr>
        <w:t>ri</w:t>
      </w:r>
      <w:r w:rsidRPr="007D6432">
        <w:rPr>
          <w:rFonts w:ascii="Bookman Old Style" w:hAnsi="Bookman Old Style" w:cs="Courier"/>
          <w:i/>
          <w:iCs/>
          <w:sz w:val="24"/>
          <w:szCs w:val="24"/>
          <w:lang w:eastAsia="es-CO"/>
        </w:rPr>
        <w:t>ma de ahorro, es decir, por las sumas pagadas en exceso por</w:t>
      </w:r>
      <w:r w:rsidR="000156CC">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lo</w:t>
      </w:r>
      <w:r w:rsidR="000156CC">
        <w:rPr>
          <w:rFonts w:ascii="Bookman Old Style" w:hAnsi="Bookman Old Style" w:cs="Courier"/>
          <w:i/>
          <w:iCs/>
          <w:sz w:val="24"/>
          <w:szCs w:val="24"/>
          <w:lang w:eastAsia="es-CO"/>
        </w:rPr>
        <w:t>s</w:t>
      </w:r>
      <w:r w:rsidRPr="007D6432">
        <w:rPr>
          <w:rFonts w:ascii="Bookman Old Style" w:hAnsi="Bookman Old Style" w:cs="Courier"/>
          <w:i/>
          <w:iCs/>
          <w:sz w:val="24"/>
          <w:szCs w:val="24"/>
          <w:lang w:eastAsia="es-CO"/>
        </w:rPr>
        <w:t xml:space="preserve"> </w:t>
      </w:r>
      <w:r w:rsidR="00A74233" w:rsidRPr="007D6432">
        <w:rPr>
          <w:rFonts w:ascii="Bookman Old Style" w:hAnsi="Bookman Old Style" w:cs="Courier"/>
          <w:i/>
          <w:iCs/>
          <w:sz w:val="24"/>
          <w:szCs w:val="24"/>
          <w:lang w:eastAsia="es-CO"/>
        </w:rPr>
        <w:t>aseguradores</w:t>
      </w:r>
      <w:r w:rsidRPr="007D6432">
        <w:rPr>
          <w:rFonts w:ascii="Bookman Old Style" w:hAnsi="Bookman Old Style" w:cs="Courier"/>
          <w:i/>
          <w:iCs/>
          <w:sz w:val="24"/>
          <w:szCs w:val="24"/>
          <w:lang w:eastAsia="es-CO"/>
        </w:rPr>
        <w:t xml:space="preserve"> durante los </w:t>
      </w:r>
      <w:r w:rsidR="00A74233" w:rsidRPr="007D6432">
        <w:rPr>
          <w:rFonts w:ascii="Bookman Old Style" w:hAnsi="Bookman Old Style" w:cs="Courier"/>
          <w:i/>
          <w:iCs/>
          <w:sz w:val="24"/>
          <w:szCs w:val="24"/>
          <w:lang w:eastAsia="es-CO"/>
        </w:rPr>
        <w:t>primeros</w:t>
      </w:r>
      <w:r w:rsidRPr="007D6432">
        <w:rPr>
          <w:rFonts w:ascii="Bookman Old Style" w:hAnsi="Bookman Old Style" w:cs="Courier"/>
          <w:i/>
          <w:iCs/>
          <w:sz w:val="24"/>
          <w:szCs w:val="24"/>
          <w:lang w:eastAsia="es-CO"/>
        </w:rPr>
        <w:t xml:space="preserve"> años de la </w:t>
      </w:r>
      <w:r w:rsidR="00A74233" w:rsidRPr="007D6432">
        <w:rPr>
          <w:rFonts w:ascii="Bookman Old Style" w:hAnsi="Bookman Old Style" w:cs="Courier"/>
          <w:i/>
          <w:iCs/>
          <w:sz w:val="24"/>
          <w:szCs w:val="24"/>
          <w:lang w:eastAsia="es-CO"/>
        </w:rPr>
        <w:t>póliza</w:t>
      </w:r>
      <w:r w:rsidRPr="007D6432">
        <w:rPr>
          <w:rFonts w:ascii="Bookman Old Style" w:hAnsi="Bookman Old Style" w:cs="Courier"/>
          <w:i/>
          <w:iCs/>
          <w:sz w:val="24"/>
          <w:szCs w:val="24"/>
          <w:lang w:eastAsia="es-CO"/>
        </w:rPr>
        <w:t>, las cuales</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deben ser reservadas para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poder hacer</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frente a los </w:t>
      </w:r>
      <w:r w:rsidR="00A74233" w:rsidRPr="007D6432">
        <w:rPr>
          <w:rFonts w:ascii="Bookman Old Style" w:hAnsi="Bookman Old Style" w:cs="Courier"/>
          <w:i/>
          <w:iCs/>
          <w:sz w:val="24"/>
          <w:szCs w:val="24"/>
          <w:lang w:eastAsia="es-CO"/>
        </w:rPr>
        <w:t>riesgos</w:t>
      </w:r>
      <w:r w:rsidRPr="007D6432">
        <w:rPr>
          <w:rFonts w:ascii="Bookman Old Style" w:hAnsi="Bookman Old Style" w:cs="Courier"/>
          <w:i/>
          <w:iCs/>
          <w:sz w:val="24"/>
          <w:szCs w:val="24"/>
          <w:lang w:eastAsia="es-CO"/>
        </w:rPr>
        <w:t xml:space="preserve"> futuros</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En otras palabras, se establece que es la proporción</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de </w:t>
      </w:r>
      <w:r w:rsidR="00A74233" w:rsidRPr="007D6432">
        <w:rPr>
          <w:rFonts w:ascii="Bookman Old Style" w:hAnsi="Bookman Old Style" w:cs="Courier"/>
          <w:i/>
          <w:iCs/>
          <w:sz w:val="24"/>
          <w:szCs w:val="24"/>
          <w:lang w:eastAsia="es-CO"/>
        </w:rPr>
        <w:t xml:space="preserve">primas </w:t>
      </w:r>
      <w:r w:rsidRPr="007D6432">
        <w:rPr>
          <w:rFonts w:ascii="Bookman Old Style" w:hAnsi="Bookman Old Style" w:cs="Courier"/>
          <w:i/>
          <w:iCs/>
          <w:sz w:val="24"/>
          <w:szCs w:val="24"/>
          <w:lang w:eastAsia="es-CO"/>
        </w:rPr>
        <w:t>pagad</w:t>
      </w:r>
      <w:r w:rsidR="00A74233" w:rsidRPr="007D6432">
        <w:rPr>
          <w:rFonts w:ascii="Bookman Old Style" w:hAnsi="Bookman Old Style" w:cs="Courier"/>
          <w:i/>
          <w:iCs/>
          <w:sz w:val="24"/>
          <w:szCs w:val="24"/>
          <w:lang w:eastAsia="es-CO"/>
        </w:rPr>
        <w:t>a</w:t>
      </w:r>
      <w:r w:rsidRPr="007D6432">
        <w:rPr>
          <w:rFonts w:ascii="Bookman Old Style" w:hAnsi="Bookman Old Style" w:cs="Courier"/>
          <w:i/>
          <w:iCs/>
          <w:sz w:val="24"/>
          <w:szCs w:val="24"/>
          <w:lang w:eastAsia="es-CO"/>
        </w:rPr>
        <w:t>s</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por los </w:t>
      </w:r>
      <w:r w:rsidR="00A74233" w:rsidRPr="007D6432">
        <w:rPr>
          <w:rFonts w:ascii="Bookman Old Style" w:hAnsi="Bookman Old Style" w:cs="Courier"/>
          <w:i/>
          <w:iCs/>
          <w:sz w:val="24"/>
          <w:szCs w:val="24"/>
          <w:lang w:eastAsia="es-CO"/>
        </w:rPr>
        <w:t>asegurados</w:t>
      </w:r>
      <w:r w:rsidRPr="007D6432">
        <w:rPr>
          <w:rFonts w:ascii="Bookman Old Style" w:hAnsi="Bookman Old Style" w:cs="Courier"/>
          <w:i/>
          <w:iCs/>
          <w:sz w:val="24"/>
          <w:szCs w:val="24"/>
          <w:lang w:eastAsia="es-CO"/>
        </w:rPr>
        <w:t xml:space="preserve"> del </w:t>
      </w:r>
      <w:r w:rsidR="00A74233" w:rsidRPr="007D6432">
        <w:rPr>
          <w:rFonts w:ascii="Bookman Old Style" w:hAnsi="Bookman Old Style" w:cs="Courier"/>
          <w:i/>
          <w:iCs/>
          <w:sz w:val="24"/>
          <w:szCs w:val="24"/>
          <w:lang w:eastAsia="es-CO"/>
        </w:rPr>
        <w:t>ramo</w:t>
      </w:r>
      <w:r w:rsidRPr="007D6432">
        <w:rPr>
          <w:rFonts w:ascii="Bookman Old Style" w:hAnsi="Bookman Old Style" w:cs="Courier"/>
          <w:i/>
          <w:iCs/>
          <w:sz w:val="24"/>
          <w:szCs w:val="24"/>
          <w:lang w:eastAsia="es-CO"/>
        </w:rPr>
        <w:t xml:space="preserve"> de vida en exceso de lo que cada año necesita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el asegurador</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w:t>
      </w:r>
      <w:r w:rsidR="00A74233" w:rsidRPr="007D6432">
        <w:rPr>
          <w:rFonts w:ascii="Bookman Old Style" w:hAnsi="Bookman Old Style" w:cs="Courier"/>
          <w:i/>
          <w:iCs/>
          <w:sz w:val="24"/>
          <w:szCs w:val="24"/>
          <w:lang w:eastAsia="es-CO"/>
        </w:rPr>
        <w:t>P</w:t>
      </w:r>
      <w:r w:rsidRPr="007D6432">
        <w:rPr>
          <w:rFonts w:ascii="Bookman Old Style" w:hAnsi="Bookman Old Style" w:cs="Courier"/>
          <w:i/>
          <w:iCs/>
          <w:sz w:val="24"/>
          <w:szCs w:val="24"/>
          <w:lang w:eastAsia="es-CO"/>
        </w:rPr>
        <w:t xml:space="preserve">or eso igualmente cabe señalar que al </w:t>
      </w:r>
      <w:r w:rsidR="00A74233" w:rsidRPr="007D6432">
        <w:rPr>
          <w:rFonts w:ascii="Bookman Old Style" w:hAnsi="Bookman Old Style" w:cs="Courier"/>
          <w:i/>
          <w:iCs/>
          <w:sz w:val="24"/>
          <w:szCs w:val="24"/>
          <w:lang w:eastAsia="es-CO"/>
        </w:rPr>
        <w:t>decidir</w:t>
      </w:r>
      <w:r w:rsidRPr="007D6432">
        <w:rPr>
          <w:rFonts w:ascii="Bookman Old Style" w:hAnsi="Bookman Old Style" w:cs="Courier"/>
          <w:i/>
          <w:iCs/>
          <w:sz w:val="24"/>
          <w:szCs w:val="24"/>
          <w:lang w:eastAsia="es-CO"/>
        </w:rPr>
        <w:t xml:space="preserve"> no continuar con su seguro de</w:t>
      </w:r>
      <w:r w:rsidR="00A74233" w:rsidRPr="007D6432">
        <w:rPr>
          <w:rFonts w:ascii="Bookman Old Style" w:hAnsi="Bookman Old Style" w:cs="Courier"/>
          <w:i/>
          <w:iCs/>
          <w:sz w:val="24"/>
          <w:szCs w:val="24"/>
          <w:lang w:eastAsia="es-CO"/>
        </w:rPr>
        <w:t xml:space="preserve"> vida</w:t>
      </w:r>
      <w:r w:rsidRPr="007D6432">
        <w:rPr>
          <w:rFonts w:ascii="Bookman Old Style" w:hAnsi="Bookman Old Style" w:cs="Courier"/>
          <w:i/>
          <w:iCs/>
          <w:sz w:val="24"/>
          <w:szCs w:val="24"/>
          <w:lang w:eastAsia="es-CO"/>
        </w:rPr>
        <w:t xml:space="preserve"> en cualquier momento, bien puede </w:t>
      </w:r>
      <w:r w:rsidR="00A74233" w:rsidRPr="007D6432">
        <w:rPr>
          <w:rFonts w:ascii="Bookman Old Style" w:hAnsi="Bookman Old Style" w:cs="Courier"/>
          <w:i/>
          <w:iCs/>
          <w:sz w:val="24"/>
          <w:szCs w:val="24"/>
          <w:lang w:eastAsia="es-CO"/>
        </w:rPr>
        <w:t>exigir</w:t>
      </w:r>
      <w:r w:rsidRPr="007D6432">
        <w:rPr>
          <w:rFonts w:ascii="Bookman Old Style" w:hAnsi="Bookman Old Style" w:cs="Courier"/>
          <w:i/>
          <w:iCs/>
          <w:sz w:val="24"/>
          <w:szCs w:val="24"/>
          <w:lang w:eastAsia="es-CO"/>
        </w:rPr>
        <w:t xml:space="preserve"> la devolución el asegurado de lo que le</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corresponde por excesos pagados, m</w:t>
      </w:r>
      <w:r w:rsidR="00A74233" w:rsidRPr="007D6432">
        <w:rPr>
          <w:rFonts w:ascii="Bookman Old Style" w:hAnsi="Bookman Old Style" w:cs="Courier"/>
          <w:i/>
          <w:iCs/>
          <w:sz w:val="24"/>
          <w:szCs w:val="24"/>
          <w:lang w:eastAsia="es-CO"/>
        </w:rPr>
        <w:t>á</w:t>
      </w:r>
      <w:r w:rsidRPr="007D6432">
        <w:rPr>
          <w:rFonts w:ascii="Bookman Old Style" w:hAnsi="Bookman Old Style" w:cs="Courier"/>
          <w:i/>
          <w:iCs/>
          <w:sz w:val="24"/>
          <w:szCs w:val="24"/>
          <w:lang w:eastAsia="es-CO"/>
        </w:rPr>
        <w:t xml:space="preserve">s sus intereses como lo habla 1155 del </w:t>
      </w:r>
      <w:r w:rsidR="00A74233" w:rsidRPr="007D6432">
        <w:rPr>
          <w:rFonts w:ascii="Bookman Old Style" w:hAnsi="Bookman Old Style" w:cs="Courier"/>
          <w:i/>
          <w:iCs/>
          <w:sz w:val="24"/>
          <w:szCs w:val="24"/>
          <w:lang w:eastAsia="es-CO"/>
        </w:rPr>
        <w:t>Código</w:t>
      </w:r>
      <w:r w:rsidRPr="007D6432">
        <w:rPr>
          <w:rFonts w:ascii="Bookman Old Style" w:hAnsi="Bookman Old Style" w:cs="Courier"/>
          <w:i/>
          <w:iCs/>
          <w:sz w:val="24"/>
          <w:szCs w:val="24"/>
          <w:lang w:eastAsia="es-CO"/>
        </w:rPr>
        <w:t xml:space="preserve"> de</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Comercio</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w:t>
      </w:r>
    </w:p>
    <w:p w14:paraId="31E78BD6" w14:textId="77777777" w:rsidR="00A74233" w:rsidRPr="007D6432" w:rsidRDefault="00A74233" w:rsidP="007D6432">
      <w:pPr>
        <w:autoSpaceDE w:val="0"/>
        <w:autoSpaceDN w:val="0"/>
        <w:adjustRightInd w:val="0"/>
        <w:spacing w:after="0"/>
        <w:ind w:left="709"/>
        <w:rPr>
          <w:rFonts w:ascii="Bookman Old Style" w:hAnsi="Bookman Old Style" w:cs="Courier"/>
          <w:i/>
          <w:iCs/>
          <w:sz w:val="24"/>
          <w:szCs w:val="24"/>
          <w:lang w:eastAsia="es-CO"/>
        </w:rPr>
      </w:pPr>
    </w:p>
    <w:p w14:paraId="45020AA8" w14:textId="2F53F560" w:rsidR="00917974" w:rsidRPr="007D6432" w:rsidRDefault="00A74233" w:rsidP="00BF5256">
      <w:pPr>
        <w:autoSpaceDE w:val="0"/>
        <w:autoSpaceDN w:val="0"/>
        <w:adjustRightInd w:val="0"/>
        <w:spacing w:after="0"/>
        <w:ind w:left="709"/>
        <w:jc w:val="both"/>
        <w:rPr>
          <w:rFonts w:ascii="Bookman Old Style" w:hAnsi="Bookman Old Style" w:cs="Courier"/>
          <w:i/>
          <w:iCs/>
          <w:sz w:val="24"/>
          <w:szCs w:val="24"/>
          <w:lang w:eastAsia="es-CO"/>
        </w:rPr>
      </w:pPr>
      <w:r w:rsidRPr="007D6432">
        <w:rPr>
          <w:rFonts w:ascii="Bookman Old Style" w:hAnsi="Bookman Old Style" w:cs="Courier"/>
          <w:i/>
          <w:iCs/>
          <w:sz w:val="24"/>
          <w:szCs w:val="24"/>
          <w:lang w:eastAsia="es-CO"/>
        </w:rPr>
        <w:t>Así</w:t>
      </w:r>
      <w:r w:rsidR="00917974" w:rsidRPr="007D6432">
        <w:rPr>
          <w:rFonts w:ascii="Bookman Old Style" w:hAnsi="Bookman Old Style" w:cs="Courier"/>
          <w:i/>
          <w:iCs/>
          <w:sz w:val="24"/>
          <w:szCs w:val="24"/>
          <w:lang w:eastAsia="es-CO"/>
        </w:rPr>
        <w:t xml:space="preserve">, en </w:t>
      </w:r>
      <w:r w:rsidRPr="007D6432">
        <w:rPr>
          <w:rFonts w:ascii="Bookman Old Style" w:hAnsi="Bookman Old Style" w:cs="Courier"/>
          <w:i/>
          <w:iCs/>
          <w:sz w:val="24"/>
          <w:szCs w:val="24"/>
          <w:lang w:eastAsia="es-CO"/>
        </w:rPr>
        <w:t>e</w:t>
      </w:r>
      <w:r w:rsidR="00917974" w:rsidRPr="007D6432">
        <w:rPr>
          <w:rFonts w:ascii="Bookman Old Style" w:hAnsi="Bookman Old Style" w:cs="Courier"/>
          <w:i/>
          <w:iCs/>
          <w:sz w:val="24"/>
          <w:szCs w:val="24"/>
          <w:lang w:eastAsia="es-CO"/>
        </w:rPr>
        <w:t>fecto, la cantidad que se le devuelve toma el nombre de capital de rescate</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 xml:space="preserve">que no es otra cosa que la reserva matemática con </w:t>
      </w:r>
      <w:r w:rsidRPr="007D6432">
        <w:rPr>
          <w:rFonts w:ascii="Bookman Old Style" w:hAnsi="Bookman Old Style" w:cs="Courier"/>
          <w:i/>
          <w:iCs/>
          <w:sz w:val="24"/>
          <w:szCs w:val="24"/>
          <w:lang w:eastAsia="es-CO"/>
        </w:rPr>
        <w:t>algunas pequeñas</w:t>
      </w:r>
      <w:r w:rsidR="00917974" w:rsidRPr="007D6432">
        <w:rPr>
          <w:rFonts w:ascii="Bookman Old Style" w:hAnsi="Bookman Old Style" w:cs="Courier"/>
          <w:i/>
          <w:iCs/>
          <w:sz w:val="24"/>
          <w:szCs w:val="24"/>
          <w:lang w:eastAsia="es-CO"/>
        </w:rPr>
        <w:t xml:space="preserve"> deducciones de gastos de</w:t>
      </w:r>
      <w:r w:rsidRPr="007D6432">
        <w:rPr>
          <w:rFonts w:ascii="Bookman Old Style" w:hAnsi="Bookman Old Style" w:cs="Courier"/>
          <w:i/>
          <w:iCs/>
          <w:sz w:val="24"/>
          <w:szCs w:val="24"/>
          <w:lang w:eastAsia="es-CO"/>
        </w:rPr>
        <w:t xml:space="preserve"> </w:t>
      </w:r>
      <w:r w:rsidR="00917974" w:rsidRPr="007D6432">
        <w:rPr>
          <w:rFonts w:ascii="Bookman Old Style" w:hAnsi="Bookman Old Style" w:cs="Courier"/>
          <w:i/>
          <w:iCs/>
          <w:sz w:val="24"/>
          <w:szCs w:val="24"/>
          <w:lang w:eastAsia="es-CO"/>
        </w:rPr>
        <w:t>la entidad</w:t>
      </w:r>
      <w:r w:rsidRPr="007D6432">
        <w:rPr>
          <w:rFonts w:ascii="Bookman Old Style" w:hAnsi="Bookman Old Style" w:cs="Courier"/>
          <w:i/>
          <w:iCs/>
          <w:sz w:val="24"/>
          <w:szCs w:val="24"/>
          <w:lang w:eastAsia="es-CO"/>
        </w:rPr>
        <w:t>.</w:t>
      </w:r>
    </w:p>
    <w:p w14:paraId="42F93B3E" w14:textId="77777777" w:rsidR="00A74233" w:rsidRPr="007D6432" w:rsidRDefault="00A74233" w:rsidP="007D6432">
      <w:pPr>
        <w:autoSpaceDE w:val="0"/>
        <w:autoSpaceDN w:val="0"/>
        <w:adjustRightInd w:val="0"/>
        <w:spacing w:after="0"/>
        <w:ind w:left="709"/>
        <w:rPr>
          <w:rFonts w:ascii="Bookman Old Style" w:hAnsi="Bookman Old Style" w:cs="Courier"/>
          <w:i/>
          <w:iCs/>
          <w:sz w:val="24"/>
          <w:szCs w:val="24"/>
          <w:lang w:eastAsia="es-CO"/>
        </w:rPr>
      </w:pPr>
    </w:p>
    <w:p w14:paraId="392675A4" w14:textId="495F3EF4" w:rsidR="00A74233" w:rsidRPr="007D6432" w:rsidRDefault="00917974" w:rsidP="007D6432">
      <w:pPr>
        <w:autoSpaceDE w:val="0"/>
        <w:autoSpaceDN w:val="0"/>
        <w:adjustRightInd w:val="0"/>
        <w:spacing w:after="0"/>
        <w:ind w:left="709"/>
        <w:jc w:val="both"/>
        <w:rPr>
          <w:rFonts w:ascii="Bookman Old Style" w:hAnsi="Bookman Old Style" w:cs="Courier"/>
          <w:b/>
          <w:bCs/>
          <w:i/>
          <w:iCs/>
          <w:sz w:val="24"/>
          <w:szCs w:val="24"/>
          <w:lang w:eastAsia="es-CO"/>
        </w:rPr>
      </w:pPr>
      <w:r w:rsidRPr="007D6432">
        <w:rPr>
          <w:rFonts w:ascii="Bookman Old Style" w:hAnsi="Bookman Old Style" w:cs="Courier"/>
          <w:i/>
          <w:iCs/>
          <w:sz w:val="24"/>
          <w:szCs w:val="24"/>
          <w:lang w:eastAsia="es-CO"/>
        </w:rPr>
        <w:t>E</w:t>
      </w:r>
      <w:r w:rsidR="00A74233" w:rsidRPr="007D6432">
        <w:rPr>
          <w:rFonts w:ascii="Bookman Old Style" w:hAnsi="Bookman Old Style" w:cs="Courier"/>
          <w:i/>
          <w:iCs/>
          <w:sz w:val="24"/>
          <w:szCs w:val="24"/>
          <w:lang w:eastAsia="es-CO"/>
        </w:rPr>
        <w:t>n</w:t>
      </w:r>
      <w:r w:rsidRPr="007D6432">
        <w:rPr>
          <w:rFonts w:ascii="Bookman Old Style" w:hAnsi="Bookman Old Style" w:cs="Courier"/>
          <w:i/>
          <w:iCs/>
          <w:sz w:val="24"/>
          <w:szCs w:val="24"/>
          <w:lang w:eastAsia="es-CO"/>
        </w:rPr>
        <w:t xml:space="preserve"> el </w:t>
      </w:r>
      <w:r w:rsidR="00A74233" w:rsidRPr="007D6432">
        <w:rPr>
          <w:rFonts w:ascii="Bookman Old Style" w:hAnsi="Bookman Old Style" w:cs="Courier"/>
          <w:i/>
          <w:iCs/>
          <w:sz w:val="24"/>
          <w:szCs w:val="24"/>
          <w:lang w:eastAsia="es-CO"/>
        </w:rPr>
        <w:t>seguro</w:t>
      </w:r>
      <w:r w:rsidRPr="007D6432">
        <w:rPr>
          <w:rFonts w:ascii="Bookman Old Style" w:hAnsi="Bookman Old Style" w:cs="Courier"/>
          <w:i/>
          <w:iCs/>
          <w:sz w:val="24"/>
          <w:szCs w:val="24"/>
          <w:lang w:eastAsia="es-CO"/>
        </w:rPr>
        <w:t xml:space="preserve"> de </w:t>
      </w:r>
      <w:r w:rsidR="00A74233" w:rsidRPr="007D6432">
        <w:rPr>
          <w:rFonts w:ascii="Bookman Old Style" w:hAnsi="Bookman Old Style" w:cs="Courier"/>
          <w:i/>
          <w:iCs/>
          <w:sz w:val="24"/>
          <w:szCs w:val="24"/>
          <w:lang w:eastAsia="es-CO"/>
        </w:rPr>
        <w:t>vida</w:t>
      </w:r>
      <w:r w:rsidRPr="007D6432">
        <w:rPr>
          <w:rFonts w:ascii="Bookman Old Style" w:hAnsi="Bookman Old Style" w:cs="Courier"/>
          <w:i/>
          <w:iCs/>
          <w:sz w:val="24"/>
          <w:szCs w:val="24"/>
          <w:lang w:eastAsia="es-CO"/>
        </w:rPr>
        <w:t xml:space="preserve">, establece el </w:t>
      </w:r>
      <w:r w:rsidR="00A74233" w:rsidRPr="007D6432">
        <w:rPr>
          <w:rFonts w:ascii="Bookman Old Style" w:hAnsi="Bookman Old Style" w:cs="Courier"/>
          <w:i/>
          <w:iCs/>
          <w:sz w:val="24"/>
          <w:szCs w:val="24"/>
          <w:lang w:eastAsia="es-CO"/>
        </w:rPr>
        <w:t>artículo</w:t>
      </w:r>
      <w:r w:rsidRPr="007D6432">
        <w:rPr>
          <w:rFonts w:ascii="Bookman Old Style" w:hAnsi="Bookman Old Style" w:cs="Courier"/>
          <w:i/>
          <w:iCs/>
          <w:sz w:val="24"/>
          <w:szCs w:val="24"/>
          <w:lang w:eastAsia="es-CO"/>
        </w:rPr>
        <w:t xml:space="preserve"> 1156 que</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si a la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falta de</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pago de las primas se dan</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con posterioridad a los dos primeros años, la terminación del contrato no opera de forma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automática puesto que se han conformado una reserva que puede solucionar el problema</w:t>
      </w:r>
      <w:r w:rsidR="00A74233" w:rsidRPr="007D6432">
        <w:rPr>
          <w:rFonts w:ascii="Bookman Old Style" w:hAnsi="Bookman Old Style" w:cs="Courier"/>
          <w:i/>
          <w:iCs/>
          <w:sz w:val="24"/>
          <w:szCs w:val="24"/>
          <w:lang w:eastAsia="es-CO"/>
        </w:rPr>
        <w:t xml:space="preserve">. </w:t>
      </w:r>
      <w:r w:rsidR="00A74233" w:rsidRPr="007D6432">
        <w:rPr>
          <w:rFonts w:ascii="Bookman Old Style" w:hAnsi="Bookman Old Style" w:cs="Courier"/>
          <w:b/>
          <w:bCs/>
          <w:i/>
          <w:iCs/>
          <w:sz w:val="24"/>
          <w:szCs w:val="24"/>
          <w:lang w:eastAsia="es-CO"/>
        </w:rPr>
        <w:t>Razón</w:t>
      </w:r>
      <w:r w:rsidRPr="007D6432">
        <w:rPr>
          <w:rFonts w:ascii="Bookman Old Style" w:hAnsi="Bookman Old Style" w:cs="Courier"/>
          <w:b/>
          <w:bCs/>
          <w:i/>
          <w:iCs/>
          <w:sz w:val="24"/>
          <w:szCs w:val="24"/>
          <w:lang w:eastAsia="es-CO"/>
        </w:rPr>
        <w:t xml:space="preserve"> por la cual, resulta inadmisible aceptar que la reserva</w:t>
      </w:r>
      <w:r w:rsidR="00A74233"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matemática</w:t>
      </w:r>
      <w:r w:rsidR="00A74233" w:rsidRPr="007D6432">
        <w:rPr>
          <w:rFonts w:ascii="Bookman Old Style" w:hAnsi="Bookman Old Style" w:cs="Courier"/>
          <w:b/>
          <w:bCs/>
          <w:i/>
          <w:iCs/>
          <w:sz w:val="24"/>
          <w:szCs w:val="24"/>
          <w:lang w:eastAsia="es-CO"/>
        </w:rPr>
        <w:t xml:space="preserve"> es la reserva de riesgo en curso,</w:t>
      </w:r>
      <w:r w:rsidRPr="007D6432">
        <w:rPr>
          <w:rFonts w:ascii="Bookman Old Style" w:hAnsi="Bookman Old Style" w:cs="Courier"/>
          <w:b/>
          <w:bCs/>
          <w:i/>
          <w:iCs/>
          <w:sz w:val="24"/>
          <w:szCs w:val="24"/>
          <w:lang w:eastAsia="es-CO"/>
        </w:rPr>
        <w:t xml:space="preserve"> que po</w:t>
      </w:r>
      <w:r w:rsidR="00A74233" w:rsidRPr="007D6432">
        <w:rPr>
          <w:rFonts w:ascii="Bookman Old Style" w:hAnsi="Bookman Old Style" w:cs="Courier"/>
          <w:b/>
          <w:bCs/>
          <w:i/>
          <w:iCs/>
          <w:sz w:val="24"/>
          <w:szCs w:val="24"/>
          <w:lang w:eastAsia="es-CO"/>
        </w:rPr>
        <w:t>r</w:t>
      </w:r>
      <w:r w:rsidRPr="007D6432">
        <w:rPr>
          <w:rFonts w:ascii="Bookman Old Style" w:hAnsi="Bookman Old Style" w:cs="Courier"/>
          <w:b/>
          <w:bCs/>
          <w:i/>
          <w:iCs/>
          <w:sz w:val="24"/>
          <w:szCs w:val="24"/>
          <w:lang w:eastAsia="es-CO"/>
        </w:rPr>
        <w:t xml:space="preserve"> </w:t>
      </w:r>
      <w:r w:rsidR="00A74233" w:rsidRPr="007D6432">
        <w:rPr>
          <w:rFonts w:ascii="Bookman Old Style" w:hAnsi="Bookman Old Style" w:cs="Courier"/>
          <w:b/>
          <w:bCs/>
          <w:i/>
          <w:iCs/>
          <w:sz w:val="24"/>
          <w:szCs w:val="24"/>
          <w:lang w:eastAsia="es-CO"/>
        </w:rPr>
        <w:t xml:space="preserve">obligación </w:t>
      </w:r>
      <w:r w:rsidRPr="007D6432">
        <w:rPr>
          <w:rFonts w:ascii="Bookman Old Style" w:hAnsi="Bookman Old Style" w:cs="Courier"/>
          <w:b/>
          <w:bCs/>
          <w:i/>
          <w:iCs/>
          <w:sz w:val="24"/>
          <w:szCs w:val="24"/>
          <w:lang w:eastAsia="es-CO"/>
        </w:rPr>
        <w:t xml:space="preserve">deben </w:t>
      </w:r>
      <w:r w:rsidR="00A74233" w:rsidRPr="007D6432">
        <w:rPr>
          <w:rFonts w:ascii="Bookman Old Style" w:hAnsi="Bookman Old Style" w:cs="Courier"/>
          <w:b/>
          <w:bCs/>
          <w:i/>
          <w:iCs/>
          <w:sz w:val="24"/>
          <w:szCs w:val="24"/>
          <w:lang w:eastAsia="es-CO"/>
        </w:rPr>
        <w:t>e</w:t>
      </w:r>
      <w:r w:rsidRPr="007D6432">
        <w:rPr>
          <w:rFonts w:ascii="Bookman Old Style" w:hAnsi="Bookman Old Style" w:cs="Courier"/>
          <w:b/>
          <w:bCs/>
          <w:i/>
          <w:iCs/>
          <w:sz w:val="24"/>
          <w:szCs w:val="24"/>
          <w:lang w:eastAsia="es-CO"/>
        </w:rPr>
        <w:t>fectuar las compañías de seg</w:t>
      </w:r>
      <w:r w:rsidR="00A74233" w:rsidRPr="007D6432">
        <w:rPr>
          <w:rFonts w:ascii="Bookman Old Style" w:hAnsi="Bookman Old Style" w:cs="Courier"/>
          <w:b/>
          <w:bCs/>
          <w:i/>
          <w:iCs/>
          <w:sz w:val="24"/>
          <w:szCs w:val="24"/>
          <w:lang w:eastAsia="es-CO"/>
        </w:rPr>
        <w:t>u</w:t>
      </w:r>
      <w:r w:rsidRPr="007D6432">
        <w:rPr>
          <w:rFonts w:ascii="Bookman Old Style" w:hAnsi="Bookman Old Style" w:cs="Courier"/>
          <w:b/>
          <w:bCs/>
          <w:i/>
          <w:iCs/>
          <w:sz w:val="24"/>
          <w:szCs w:val="24"/>
          <w:lang w:eastAsia="es-CO"/>
        </w:rPr>
        <w:t>ros</w:t>
      </w:r>
      <w:r w:rsidR="00A74233"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lastRenderedPageBreak/>
        <w:t>para los seguros de vida en estudio</w:t>
      </w:r>
      <w:r w:rsidR="00A74233" w:rsidRPr="007D6432">
        <w:rPr>
          <w:rFonts w:ascii="Bookman Old Style" w:hAnsi="Bookman Old Style" w:cs="Courier"/>
          <w:b/>
          <w:bCs/>
          <w:i/>
          <w:iCs/>
          <w:sz w:val="24"/>
          <w:szCs w:val="24"/>
          <w:lang w:eastAsia="es-CO"/>
        </w:rPr>
        <w:t>,</w:t>
      </w:r>
      <w:r w:rsidRPr="007D6432">
        <w:rPr>
          <w:rFonts w:ascii="Bookman Old Style" w:hAnsi="Bookman Old Style" w:cs="Courier"/>
          <w:b/>
          <w:bCs/>
          <w:i/>
          <w:iCs/>
          <w:sz w:val="24"/>
          <w:szCs w:val="24"/>
          <w:lang w:eastAsia="es-CO"/>
        </w:rPr>
        <w:t xml:space="preserve"> se hubiese agotado</w:t>
      </w:r>
      <w:r w:rsidR="00A74233"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por las condiciones del mercado experimentadas</w:t>
      </w:r>
      <w:r w:rsidR="00A74233"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por la economía nacional durante la vigencia</w:t>
      </w:r>
      <w:r w:rsidR="00A74233" w:rsidRPr="007D6432">
        <w:rPr>
          <w:rFonts w:ascii="Bookman Old Style" w:hAnsi="Bookman Old Style" w:cs="Courier"/>
          <w:b/>
          <w:bCs/>
          <w:i/>
          <w:iCs/>
          <w:sz w:val="24"/>
          <w:szCs w:val="24"/>
          <w:lang w:eastAsia="es-CO"/>
        </w:rPr>
        <w:t xml:space="preserve"> </w:t>
      </w:r>
      <w:r w:rsidRPr="007D6432">
        <w:rPr>
          <w:rFonts w:ascii="Bookman Old Style" w:hAnsi="Bookman Old Style" w:cs="Courier"/>
          <w:b/>
          <w:bCs/>
          <w:i/>
          <w:iCs/>
          <w:sz w:val="24"/>
          <w:szCs w:val="24"/>
          <w:lang w:eastAsia="es-CO"/>
        </w:rPr>
        <w:t>de la misma</w:t>
      </w:r>
      <w:r w:rsidR="00A74233" w:rsidRPr="007D6432">
        <w:rPr>
          <w:rFonts w:ascii="Bookman Old Style" w:hAnsi="Bookman Old Style" w:cs="Courier"/>
          <w:b/>
          <w:bCs/>
          <w:i/>
          <w:iCs/>
          <w:sz w:val="24"/>
          <w:szCs w:val="24"/>
          <w:lang w:eastAsia="es-CO"/>
        </w:rPr>
        <w:t>,</w:t>
      </w:r>
      <w:r w:rsidRPr="007D6432">
        <w:rPr>
          <w:rFonts w:ascii="Bookman Old Style" w:hAnsi="Bookman Old Style" w:cs="Courier"/>
          <w:b/>
          <w:bCs/>
          <w:i/>
          <w:iCs/>
          <w:sz w:val="24"/>
          <w:szCs w:val="24"/>
          <w:lang w:eastAsia="es-CO"/>
        </w:rPr>
        <w:t xml:space="preserve"> según se lo </w:t>
      </w:r>
      <w:r w:rsidR="00A74233" w:rsidRPr="007D6432">
        <w:rPr>
          <w:rFonts w:ascii="Bookman Old Style" w:hAnsi="Bookman Old Style" w:cs="Courier"/>
          <w:b/>
          <w:bCs/>
          <w:i/>
          <w:iCs/>
          <w:sz w:val="24"/>
          <w:szCs w:val="24"/>
          <w:lang w:eastAsia="es-CO"/>
        </w:rPr>
        <w:t>manifestó</w:t>
      </w:r>
      <w:r w:rsidRPr="007D6432">
        <w:rPr>
          <w:rFonts w:ascii="Bookman Old Style" w:hAnsi="Bookman Old Style" w:cs="Courier"/>
          <w:b/>
          <w:bCs/>
          <w:i/>
          <w:iCs/>
          <w:sz w:val="24"/>
          <w:szCs w:val="24"/>
          <w:lang w:eastAsia="es-CO"/>
        </w:rPr>
        <w:t xml:space="preserve"> en la contestación de la demanda</w:t>
      </w:r>
      <w:r w:rsidR="00A74233" w:rsidRPr="007D6432">
        <w:rPr>
          <w:rFonts w:ascii="Bookman Old Style" w:hAnsi="Bookman Old Style" w:cs="Courier"/>
          <w:b/>
          <w:bCs/>
          <w:i/>
          <w:iCs/>
          <w:sz w:val="24"/>
          <w:szCs w:val="24"/>
          <w:lang w:eastAsia="es-CO"/>
        </w:rPr>
        <w:t>.</w:t>
      </w:r>
      <w:r w:rsidRPr="007D6432">
        <w:rPr>
          <w:rFonts w:ascii="Bookman Old Style" w:hAnsi="Bookman Old Style" w:cs="Courier"/>
          <w:b/>
          <w:bCs/>
          <w:i/>
          <w:iCs/>
          <w:sz w:val="24"/>
          <w:szCs w:val="24"/>
          <w:lang w:eastAsia="es-CO"/>
        </w:rPr>
        <w:t xml:space="preserve"> </w:t>
      </w:r>
    </w:p>
    <w:p w14:paraId="15876443" w14:textId="77777777" w:rsidR="00A74233" w:rsidRPr="007D6432" w:rsidRDefault="00A74233" w:rsidP="007D6432">
      <w:pPr>
        <w:autoSpaceDE w:val="0"/>
        <w:autoSpaceDN w:val="0"/>
        <w:adjustRightInd w:val="0"/>
        <w:spacing w:after="0"/>
        <w:ind w:left="709"/>
        <w:jc w:val="both"/>
        <w:rPr>
          <w:rFonts w:ascii="Bookman Old Style" w:hAnsi="Bookman Old Style" w:cs="Courier"/>
          <w:i/>
          <w:iCs/>
          <w:sz w:val="24"/>
          <w:szCs w:val="24"/>
          <w:lang w:eastAsia="es-CO"/>
        </w:rPr>
      </w:pPr>
    </w:p>
    <w:p w14:paraId="67FE8BA9" w14:textId="6B291BE9" w:rsidR="00917974" w:rsidRPr="007D6432" w:rsidRDefault="00917974" w:rsidP="007D6432">
      <w:pPr>
        <w:autoSpaceDE w:val="0"/>
        <w:autoSpaceDN w:val="0"/>
        <w:adjustRightInd w:val="0"/>
        <w:spacing w:after="0"/>
        <w:ind w:left="709"/>
        <w:jc w:val="both"/>
        <w:rPr>
          <w:rFonts w:ascii="Bookman Old Style" w:hAnsi="Bookman Old Style" w:cs="Courier"/>
          <w:sz w:val="24"/>
          <w:szCs w:val="24"/>
          <w:lang w:eastAsia="es-CO"/>
        </w:rPr>
      </w:pPr>
      <w:r w:rsidRPr="007D6432">
        <w:rPr>
          <w:rFonts w:ascii="Bookman Old Style" w:hAnsi="Bookman Old Style" w:cs="Courier"/>
          <w:i/>
          <w:iCs/>
          <w:sz w:val="24"/>
          <w:szCs w:val="24"/>
          <w:lang w:eastAsia="es-CO"/>
        </w:rPr>
        <w:t>Ahora bien, si bien es</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cierto que allego al </w:t>
      </w:r>
      <w:r w:rsidR="00A74233" w:rsidRPr="007D6432">
        <w:rPr>
          <w:rFonts w:ascii="Bookman Old Style" w:hAnsi="Bookman Old Style" w:cs="Courier"/>
          <w:i/>
          <w:iCs/>
          <w:sz w:val="24"/>
          <w:szCs w:val="24"/>
          <w:lang w:eastAsia="es-CO"/>
        </w:rPr>
        <w:t>plenario</w:t>
      </w:r>
      <w:r w:rsidRPr="007D6432">
        <w:rPr>
          <w:rFonts w:ascii="Bookman Old Style" w:hAnsi="Bookman Old Style" w:cs="Courier"/>
          <w:i/>
          <w:iCs/>
          <w:sz w:val="24"/>
          <w:szCs w:val="24"/>
          <w:lang w:eastAsia="es-CO"/>
        </w:rPr>
        <w:t xml:space="preserve"> testimonios y prueba pericial, lo cierto es que no al</w:t>
      </w:r>
      <w:r w:rsidR="00A74233" w:rsidRPr="007D6432">
        <w:rPr>
          <w:rFonts w:ascii="Bookman Old Style" w:hAnsi="Bookman Old Style" w:cs="Courier"/>
          <w:i/>
          <w:iCs/>
          <w:sz w:val="24"/>
          <w:szCs w:val="24"/>
          <w:lang w:eastAsia="es-CO"/>
        </w:rPr>
        <w:t>l</w:t>
      </w:r>
      <w:r w:rsidRPr="007D6432">
        <w:rPr>
          <w:rFonts w:ascii="Bookman Old Style" w:hAnsi="Bookman Old Style" w:cs="Courier"/>
          <w:i/>
          <w:iCs/>
          <w:sz w:val="24"/>
          <w:szCs w:val="24"/>
          <w:lang w:eastAsia="es-CO"/>
        </w:rPr>
        <w:t>eg</w:t>
      </w:r>
      <w:r w:rsidR="00A74233" w:rsidRPr="007D6432">
        <w:rPr>
          <w:rFonts w:ascii="Bookman Old Style" w:hAnsi="Bookman Old Style" w:cs="Courier"/>
          <w:i/>
          <w:iCs/>
          <w:sz w:val="24"/>
          <w:szCs w:val="24"/>
          <w:lang w:eastAsia="es-CO"/>
        </w:rPr>
        <w:t>ó</w:t>
      </w:r>
      <w:r w:rsidRPr="007D6432">
        <w:rPr>
          <w:rFonts w:ascii="Bookman Old Style" w:hAnsi="Bookman Old Style" w:cs="Courier"/>
          <w:i/>
          <w:iCs/>
          <w:sz w:val="24"/>
          <w:szCs w:val="24"/>
          <w:lang w:eastAsia="es-CO"/>
        </w:rPr>
        <w:t xml:space="preserve"> aquí un</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dictamen contable</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y financiero</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ni soportes </w:t>
      </w:r>
      <w:r w:rsidR="00A74233" w:rsidRPr="007D6432">
        <w:rPr>
          <w:rFonts w:ascii="Bookman Old Style" w:hAnsi="Bookman Old Style" w:cs="Courier"/>
          <w:i/>
          <w:iCs/>
          <w:sz w:val="24"/>
          <w:szCs w:val="24"/>
          <w:lang w:eastAsia="es-CO"/>
        </w:rPr>
        <w:t>bancarios</w:t>
      </w:r>
      <w:r w:rsidRPr="007D6432">
        <w:rPr>
          <w:rFonts w:ascii="Bookman Old Style" w:hAnsi="Bookman Old Style" w:cs="Courier"/>
          <w:i/>
          <w:iCs/>
          <w:sz w:val="24"/>
          <w:szCs w:val="24"/>
          <w:lang w:eastAsia="es-CO"/>
        </w:rPr>
        <w:t xml:space="preserve"> que establecieran que </w:t>
      </w:r>
      <w:r w:rsidR="00A74233" w:rsidRPr="007D6432">
        <w:rPr>
          <w:rFonts w:ascii="Bookman Old Style" w:hAnsi="Bookman Old Style" w:cs="Courier"/>
          <w:i/>
          <w:iCs/>
          <w:sz w:val="24"/>
          <w:szCs w:val="24"/>
          <w:lang w:eastAsia="es-CO"/>
        </w:rPr>
        <w:t>e</w:t>
      </w:r>
      <w:r w:rsidRPr="007D6432">
        <w:rPr>
          <w:rFonts w:ascii="Bookman Old Style" w:hAnsi="Bookman Old Style" w:cs="Courier"/>
          <w:i/>
          <w:iCs/>
          <w:sz w:val="24"/>
          <w:szCs w:val="24"/>
          <w:lang w:eastAsia="es-CO"/>
        </w:rPr>
        <w:t>fectivamente esa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reserva se hubiera agotado por cualquier mecanismo, aun cuando era un deber legal</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según la</w:t>
      </w:r>
      <w:r w:rsidR="00A74233"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norma antes citada</w:t>
      </w:r>
      <w:r w:rsidR="00A74233" w:rsidRPr="007D6432">
        <w:rPr>
          <w:rFonts w:ascii="Bookman Old Style" w:hAnsi="Bookman Old Style" w:cs="Courier"/>
          <w:i/>
          <w:iCs/>
          <w:sz w:val="24"/>
          <w:szCs w:val="24"/>
          <w:lang w:eastAsia="es-CO"/>
        </w:rPr>
        <w:t>. Y</w:t>
      </w:r>
      <w:r w:rsidRPr="007D6432">
        <w:rPr>
          <w:rFonts w:ascii="Bookman Old Style" w:hAnsi="Bookman Old Style" w:cs="Courier"/>
          <w:i/>
          <w:iCs/>
          <w:sz w:val="24"/>
          <w:szCs w:val="24"/>
          <w:lang w:eastAsia="es-CO"/>
        </w:rPr>
        <w:t xml:space="preserve"> aunado a que cuando claramente la norma en comento le impone a la</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aseguradora un deber legal de prever dichas reservas con la obligación de calcular</w:t>
      </w:r>
      <w:r w:rsidR="00A74233" w:rsidRPr="007D6432">
        <w:rPr>
          <w:rFonts w:ascii="Bookman Old Style" w:hAnsi="Bookman Old Style" w:cs="Courier"/>
          <w:i/>
          <w:iCs/>
          <w:sz w:val="24"/>
          <w:szCs w:val="24"/>
          <w:lang w:eastAsia="es-CO"/>
        </w:rPr>
        <w:t>,</w:t>
      </w:r>
      <w:r w:rsidRPr="007D6432">
        <w:rPr>
          <w:rFonts w:ascii="Bookman Old Style" w:hAnsi="Bookman Old Style" w:cs="Courier"/>
          <w:i/>
          <w:iCs/>
          <w:sz w:val="24"/>
          <w:szCs w:val="24"/>
          <w:lang w:eastAsia="es-CO"/>
        </w:rPr>
        <w:t xml:space="preserve"> constituir</w:t>
      </w:r>
      <w:r w:rsidR="00A74233" w:rsidRPr="007D6432">
        <w:rPr>
          <w:rFonts w:ascii="Bookman Old Style" w:hAnsi="Bookman Old Style" w:cs="Courier"/>
          <w:i/>
          <w:iCs/>
          <w:sz w:val="24"/>
          <w:szCs w:val="24"/>
          <w:lang w:eastAsia="es-CO"/>
        </w:rPr>
        <w:t xml:space="preserve"> y ajustar </w:t>
      </w:r>
      <w:r w:rsidRPr="007D6432">
        <w:rPr>
          <w:rFonts w:ascii="Bookman Old Style" w:hAnsi="Bookman Old Style" w:cs="Courier"/>
          <w:i/>
          <w:iCs/>
          <w:sz w:val="24"/>
          <w:szCs w:val="24"/>
          <w:lang w:eastAsia="es-CO"/>
        </w:rPr>
        <w:t xml:space="preserve">de forma mensual </w:t>
      </w:r>
      <w:r w:rsidR="007D6432" w:rsidRPr="007D6432">
        <w:rPr>
          <w:rFonts w:ascii="Bookman Old Style" w:hAnsi="Bookman Old Style" w:cs="Courier"/>
          <w:i/>
          <w:iCs/>
          <w:sz w:val="24"/>
          <w:szCs w:val="24"/>
          <w:lang w:eastAsia="es-CO"/>
        </w:rPr>
        <w:t>sus</w:t>
      </w:r>
      <w:r w:rsidRPr="007D6432">
        <w:rPr>
          <w:rFonts w:ascii="Bookman Old Style" w:hAnsi="Bookman Old Style" w:cs="Courier"/>
          <w:i/>
          <w:iCs/>
          <w:sz w:val="24"/>
          <w:szCs w:val="24"/>
          <w:lang w:eastAsia="es-CO"/>
        </w:rPr>
        <w:t xml:space="preserve"> reservas técnicas de conformidad con </w:t>
      </w:r>
      <w:r w:rsidR="007D6432" w:rsidRPr="007D6432">
        <w:rPr>
          <w:rFonts w:ascii="Bookman Old Style" w:hAnsi="Bookman Old Style" w:cs="Courier"/>
          <w:i/>
          <w:iCs/>
          <w:sz w:val="24"/>
          <w:szCs w:val="24"/>
          <w:lang w:eastAsia="es-CO"/>
        </w:rPr>
        <w:t>las reglas</w:t>
      </w:r>
      <w:r w:rsidRPr="007D6432">
        <w:rPr>
          <w:rFonts w:ascii="Bookman Old Style" w:hAnsi="Bookman Old Style" w:cs="Courier"/>
          <w:i/>
          <w:iCs/>
          <w:sz w:val="24"/>
          <w:szCs w:val="24"/>
          <w:lang w:eastAsia="es-CO"/>
        </w:rPr>
        <w:t xml:space="preserve"> establecid</w:t>
      </w:r>
      <w:r w:rsidR="007D6432" w:rsidRPr="007D6432">
        <w:rPr>
          <w:rFonts w:ascii="Bookman Old Style" w:hAnsi="Bookman Old Style" w:cs="Courier"/>
          <w:i/>
          <w:iCs/>
          <w:sz w:val="24"/>
          <w:szCs w:val="24"/>
          <w:lang w:eastAsia="es-CO"/>
        </w:rPr>
        <w:t>as</w:t>
      </w:r>
      <w:r w:rsidRPr="007D6432">
        <w:rPr>
          <w:rFonts w:ascii="Bookman Old Style" w:hAnsi="Bookman Old Style" w:cs="Courier"/>
          <w:i/>
          <w:iCs/>
          <w:sz w:val="24"/>
          <w:szCs w:val="24"/>
          <w:lang w:eastAsia="es-CO"/>
        </w:rPr>
        <w:t xml:space="preserve"> en los decretos</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reglamentarios</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y las normas que lo </w:t>
      </w:r>
      <w:r w:rsidR="007D6432" w:rsidRPr="007D6432">
        <w:rPr>
          <w:rFonts w:ascii="Bookman Old Style" w:hAnsi="Bookman Old Style" w:cs="Courier"/>
          <w:i/>
          <w:iCs/>
          <w:sz w:val="24"/>
          <w:szCs w:val="24"/>
          <w:lang w:eastAsia="es-CO"/>
        </w:rPr>
        <w:t>modifican,</w:t>
      </w:r>
      <w:r w:rsidRPr="007D6432">
        <w:rPr>
          <w:rFonts w:ascii="Bookman Old Style" w:hAnsi="Bookman Old Style" w:cs="Courier"/>
          <w:i/>
          <w:iCs/>
          <w:sz w:val="24"/>
          <w:szCs w:val="24"/>
          <w:lang w:eastAsia="es-CO"/>
        </w:rPr>
        <w:t xml:space="preserve"> pues la actividad </w:t>
      </w:r>
      <w:r w:rsidR="007D6432" w:rsidRPr="007D6432">
        <w:rPr>
          <w:rFonts w:ascii="Bookman Old Style" w:hAnsi="Bookman Old Style" w:cs="Courier"/>
          <w:i/>
          <w:iCs/>
          <w:sz w:val="24"/>
          <w:szCs w:val="24"/>
          <w:lang w:eastAsia="es-CO"/>
        </w:rPr>
        <w:t>aseguradora</w:t>
      </w:r>
      <w:r w:rsidRPr="007D6432">
        <w:rPr>
          <w:rFonts w:ascii="Bookman Old Style" w:hAnsi="Bookman Old Style" w:cs="Courier"/>
          <w:i/>
          <w:iCs/>
          <w:sz w:val="24"/>
          <w:szCs w:val="24"/>
          <w:lang w:eastAsia="es-CO"/>
        </w:rPr>
        <w:t xml:space="preserve"> debe hacerse de</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 xml:space="preserve">concordancia con el </w:t>
      </w:r>
      <w:r w:rsidR="007D6432" w:rsidRPr="007D6432">
        <w:rPr>
          <w:rFonts w:ascii="Bookman Old Style" w:hAnsi="Bookman Old Style" w:cs="Courier"/>
          <w:i/>
          <w:iCs/>
          <w:sz w:val="24"/>
          <w:szCs w:val="24"/>
          <w:lang w:eastAsia="es-CO"/>
        </w:rPr>
        <w:t>interés</w:t>
      </w:r>
      <w:r w:rsidRPr="007D6432">
        <w:rPr>
          <w:rFonts w:ascii="Bookman Old Style" w:hAnsi="Bookman Old Style" w:cs="Courier"/>
          <w:i/>
          <w:iCs/>
          <w:sz w:val="24"/>
          <w:szCs w:val="24"/>
          <w:lang w:eastAsia="es-CO"/>
        </w:rPr>
        <w:t xml:space="preserve"> </w:t>
      </w:r>
      <w:r w:rsidR="007D6432" w:rsidRPr="007D6432">
        <w:rPr>
          <w:rFonts w:ascii="Bookman Old Style" w:hAnsi="Bookman Old Style" w:cs="Courier"/>
          <w:i/>
          <w:iCs/>
          <w:sz w:val="24"/>
          <w:szCs w:val="24"/>
          <w:lang w:eastAsia="es-CO"/>
        </w:rPr>
        <w:t>público</w:t>
      </w:r>
      <w:r w:rsidRPr="007D6432">
        <w:rPr>
          <w:rFonts w:ascii="Bookman Old Style" w:hAnsi="Bookman Old Style" w:cs="Courier"/>
          <w:i/>
          <w:iCs/>
          <w:sz w:val="24"/>
          <w:szCs w:val="24"/>
          <w:lang w:eastAsia="es-CO"/>
        </w:rPr>
        <w:t xml:space="preserve"> tutelando adecuadamente los intereses de los asegurados y</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en adecuadas condiciones de segu</w:t>
      </w:r>
      <w:r w:rsidR="007D6432" w:rsidRPr="007D6432">
        <w:rPr>
          <w:rFonts w:ascii="Bookman Old Style" w:hAnsi="Bookman Old Style" w:cs="Courier"/>
          <w:i/>
          <w:iCs/>
          <w:sz w:val="24"/>
          <w:szCs w:val="24"/>
          <w:lang w:eastAsia="es-CO"/>
        </w:rPr>
        <w:t>ri</w:t>
      </w:r>
      <w:r w:rsidRPr="007D6432">
        <w:rPr>
          <w:rFonts w:ascii="Bookman Old Style" w:hAnsi="Bookman Old Style" w:cs="Courier"/>
          <w:i/>
          <w:iCs/>
          <w:sz w:val="24"/>
          <w:szCs w:val="24"/>
          <w:lang w:eastAsia="es-CO"/>
        </w:rPr>
        <w:t>dad</w:t>
      </w:r>
      <w:r w:rsidR="007D6432" w:rsidRPr="007D6432">
        <w:rPr>
          <w:rFonts w:ascii="Bookman Old Style" w:hAnsi="Bookman Old Style" w:cs="Courier"/>
          <w:i/>
          <w:iCs/>
          <w:sz w:val="24"/>
          <w:szCs w:val="24"/>
          <w:lang w:eastAsia="es-CO"/>
        </w:rPr>
        <w:t xml:space="preserve"> </w:t>
      </w:r>
      <w:r w:rsidRPr="007D6432">
        <w:rPr>
          <w:rFonts w:ascii="Bookman Old Style" w:hAnsi="Bookman Old Style" w:cs="Courier"/>
          <w:i/>
          <w:iCs/>
          <w:sz w:val="24"/>
          <w:szCs w:val="24"/>
          <w:lang w:eastAsia="es-CO"/>
        </w:rPr>
        <w:t>y transparencia</w:t>
      </w:r>
      <w:r w:rsidR="007D6432">
        <w:rPr>
          <w:rFonts w:ascii="Bookman Old Style" w:hAnsi="Bookman Old Style" w:cs="Courier"/>
          <w:sz w:val="24"/>
          <w:szCs w:val="24"/>
          <w:lang w:eastAsia="es-CO"/>
        </w:rPr>
        <w:t>».</w:t>
      </w:r>
    </w:p>
    <w:p w14:paraId="0D6A38C2" w14:textId="3F10315C" w:rsidR="007D798C" w:rsidRDefault="007D798C" w:rsidP="00F92684">
      <w:pPr>
        <w:pStyle w:val="Sinespaciado"/>
        <w:spacing w:line="360" w:lineRule="auto"/>
        <w:ind w:firstLine="709"/>
        <w:jc w:val="both"/>
        <w:rPr>
          <w:rFonts w:ascii="Bookman Old Style" w:hAnsi="Bookman Old Style" w:cs="Arial"/>
          <w:sz w:val="28"/>
          <w:szCs w:val="28"/>
        </w:rPr>
      </w:pPr>
    </w:p>
    <w:p w14:paraId="6B4269D1" w14:textId="3ECE7988" w:rsidR="007D798C" w:rsidRPr="007D6432" w:rsidRDefault="007D6432" w:rsidP="007D6432">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3. En su embate, asegura la casacionista que el </w:t>
      </w:r>
      <w:r>
        <w:rPr>
          <w:rFonts w:ascii="Bookman Old Style" w:hAnsi="Bookman Old Style" w:cs="Arial"/>
          <w:i/>
          <w:iCs/>
          <w:sz w:val="28"/>
          <w:szCs w:val="28"/>
        </w:rPr>
        <w:t>ad quem</w:t>
      </w:r>
      <w:r>
        <w:rPr>
          <w:rFonts w:ascii="Bookman Old Style" w:hAnsi="Bookman Old Style" w:cs="Arial"/>
          <w:sz w:val="28"/>
          <w:szCs w:val="28"/>
        </w:rPr>
        <w:t xml:space="preserve"> incurrió en incongruencia, comoquiera que el demandante en ningún momento controvirtió la conclusión del juez de primera instancia en relación con la ausencia de incumplimiento en cabeza de la aseguradora. Y que, por el contrario, </w:t>
      </w:r>
      <w:r w:rsidRPr="007225E4">
        <w:rPr>
          <w:rFonts w:ascii="Bookman Old Style" w:hAnsi="Bookman Old Style" w:cs="Arial"/>
          <w:sz w:val="28"/>
          <w:szCs w:val="28"/>
        </w:rPr>
        <w:t>«</w:t>
      </w:r>
      <w:r w:rsidRPr="007225E4">
        <w:rPr>
          <w:rFonts w:ascii="Bookman Old Style" w:hAnsi="Bookman Old Style" w:cs="Arial"/>
          <w:i/>
          <w:iCs/>
          <w:sz w:val="24"/>
          <w:szCs w:val="24"/>
        </w:rPr>
        <w:t>partió de la base de que la Condición 6</w:t>
      </w:r>
      <w:r w:rsidR="00573A6B" w:rsidRPr="007225E4">
        <w:rPr>
          <w:rFonts w:ascii="Bookman Old Style" w:hAnsi="Bookman Old Style" w:cs="Arial"/>
          <w:i/>
          <w:iCs/>
          <w:sz w:val="24"/>
          <w:szCs w:val="24"/>
        </w:rPr>
        <w:t>.</w:t>
      </w:r>
      <w:r w:rsidRPr="007225E4">
        <w:rPr>
          <w:rFonts w:ascii="Bookman Old Style" w:hAnsi="Bookman Old Style" w:cs="Arial"/>
          <w:i/>
          <w:iCs/>
          <w:sz w:val="24"/>
          <w:szCs w:val="24"/>
        </w:rPr>
        <w:t>2 de la Póliza autorizaba la terminación del Contrato, solo que ella resultaba ser abusiva y debía ser interpretada en contra de la Aseguradora</w:t>
      </w:r>
      <w:r w:rsidRPr="007225E4">
        <w:rPr>
          <w:rFonts w:ascii="Bookman Old Style" w:hAnsi="Bookman Old Style" w:cs="Arial"/>
          <w:sz w:val="28"/>
          <w:szCs w:val="28"/>
        </w:rPr>
        <w:t>».</w:t>
      </w:r>
    </w:p>
    <w:p w14:paraId="1F3595E2" w14:textId="65C3D38B" w:rsidR="007D798C" w:rsidRDefault="007D798C" w:rsidP="00F92684">
      <w:pPr>
        <w:pStyle w:val="Sinespaciado"/>
        <w:spacing w:line="360" w:lineRule="auto"/>
        <w:ind w:firstLine="709"/>
        <w:jc w:val="both"/>
        <w:rPr>
          <w:rFonts w:ascii="Bookman Old Style" w:hAnsi="Bookman Old Style" w:cs="Arial"/>
          <w:sz w:val="28"/>
          <w:szCs w:val="28"/>
        </w:rPr>
      </w:pPr>
    </w:p>
    <w:p w14:paraId="24977089" w14:textId="07D63E90" w:rsidR="007D798C" w:rsidRDefault="007D6432"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Sin embargo, contrastadas las consideraciones del Tribunal con los reparos elevados por el entonces apelante, se evidencia que el colegiado sí se atuvo a los puntos de controversia planteados en la alzada. En efecto, se observa que el impugnante criticó la valoración que efectuó el juez de primer grado respecto de las cláusulas de la póliza, en especial, aquellas que consagraban las obligaciones del </w:t>
      </w:r>
      <w:r>
        <w:rPr>
          <w:rFonts w:ascii="Bookman Old Style" w:hAnsi="Bookman Old Style" w:cs="Arial"/>
          <w:sz w:val="28"/>
          <w:szCs w:val="28"/>
        </w:rPr>
        <w:lastRenderedPageBreak/>
        <w:t>asegurado en torno al pago de las primas y la referente a la constitución de los valores de cesión y de rescate -consagrada en la cláusula 6-. Criticó, además, que se hubiese considerado que las pólizas daban lugar a la creación de un fondo</w:t>
      </w:r>
      <w:r w:rsidR="000166D1">
        <w:rPr>
          <w:rFonts w:ascii="Bookman Old Style" w:hAnsi="Bookman Old Style" w:cs="Arial"/>
          <w:sz w:val="28"/>
          <w:szCs w:val="28"/>
        </w:rPr>
        <w:t xml:space="preserve"> de protección</w:t>
      </w:r>
      <w:r w:rsidR="00746D10">
        <w:rPr>
          <w:rFonts w:ascii="Bookman Old Style" w:hAnsi="Bookman Old Style" w:cs="Arial"/>
          <w:sz w:val="28"/>
          <w:szCs w:val="28"/>
        </w:rPr>
        <w:t xml:space="preserve"> y ahondó en el supuesto agotamiento de las reservas por las condiciones del mercado.</w:t>
      </w:r>
      <w:r>
        <w:rPr>
          <w:rFonts w:ascii="Bookman Old Style" w:hAnsi="Bookman Old Style" w:cs="Arial"/>
          <w:sz w:val="28"/>
          <w:szCs w:val="28"/>
        </w:rPr>
        <w:t xml:space="preserve"> </w:t>
      </w:r>
      <w:r w:rsidR="00746D10">
        <w:rPr>
          <w:rFonts w:ascii="Bookman Old Style" w:hAnsi="Bookman Old Style" w:cs="Arial"/>
          <w:sz w:val="28"/>
          <w:szCs w:val="28"/>
        </w:rPr>
        <w:t>F</w:t>
      </w:r>
      <w:r>
        <w:rPr>
          <w:rFonts w:ascii="Bookman Old Style" w:hAnsi="Bookman Old Style" w:cs="Arial"/>
          <w:sz w:val="28"/>
          <w:szCs w:val="28"/>
        </w:rPr>
        <w:t xml:space="preserve">rente a </w:t>
      </w:r>
      <w:r w:rsidR="00746D10">
        <w:rPr>
          <w:rFonts w:ascii="Bookman Old Style" w:hAnsi="Bookman Old Style" w:cs="Arial"/>
          <w:sz w:val="28"/>
          <w:szCs w:val="28"/>
        </w:rPr>
        <w:t>ello, se</w:t>
      </w:r>
      <w:r>
        <w:rPr>
          <w:rFonts w:ascii="Bookman Old Style" w:hAnsi="Bookman Old Style" w:cs="Arial"/>
          <w:sz w:val="28"/>
          <w:szCs w:val="28"/>
        </w:rPr>
        <w:t xml:space="preserve"> aseveró que: </w:t>
      </w:r>
    </w:p>
    <w:p w14:paraId="01A931B6" w14:textId="7A834EB8" w:rsidR="007D798C" w:rsidRDefault="007D798C" w:rsidP="00F92684">
      <w:pPr>
        <w:pStyle w:val="Sinespaciado"/>
        <w:spacing w:line="360" w:lineRule="auto"/>
        <w:ind w:firstLine="709"/>
        <w:jc w:val="both"/>
        <w:rPr>
          <w:rFonts w:ascii="Bookman Old Style" w:hAnsi="Bookman Old Style" w:cs="Arial"/>
          <w:sz w:val="28"/>
          <w:szCs w:val="28"/>
        </w:rPr>
      </w:pPr>
    </w:p>
    <w:p w14:paraId="28720C78" w14:textId="77777777" w:rsidR="007D6432" w:rsidRPr="007D6432" w:rsidRDefault="007D6432" w:rsidP="007D6432">
      <w:pPr>
        <w:autoSpaceDE w:val="0"/>
        <w:autoSpaceDN w:val="0"/>
        <w:adjustRightInd w:val="0"/>
        <w:spacing w:after="0"/>
        <w:ind w:left="709"/>
        <w:jc w:val="both"/>
        <w:rPr>
          <w:rFonts w:ascii="Bookman Old Style" w:hAnsi="Bookman Old Style" w:cs="Courier"/>
          <w:b/>
          <w:bCs/>
          <w:i/>
          <w:iCs/>
          <w:sz w:val="24"/>
          <w:szCs w:val="24"/>
          <w:lang w:eastAsia="es-CO"/>
        </w:rPr>
      </w:pPr>
      <w:r>
        <w:rPr>
          <w:rFonts w:ascii="Bookman Old Style" w:hAnsi="Bookman Old Style" w:cs="Arial"/>
          <w:sz w:val="28"/>
          <w:szCs w:val="28"/>
        </w:rPr>
        <w:t>«</w:t>
      </w:r>
      <w:r w:rsidRPr="007D6432">
        <w:rPr>
          <w:rFonts w:ascii="Bookman Old Style" w:hAnsi="Bookman Old Style" w:cs="Courier"/>
          <w:i/>
          <w:iCs/>
          <w:sz w:val="24"/>
          <w:szCs w:val="24"/>
          <w:lang w:eastAsia="es-CO"/>
        </w:rPr>
        <w:t>Todo lo anterior en aras de que fue omitido por el juez de primera instancia al momento de adoptar la decisión objeto de alzada en virtud del principio de legalidad previsto en el artículo 7 del Código General del Proceso, siendo un deber de tener en cuenta la jurisprudencia, y cuando se aparta la doctrina probable es obligado a exponer clara y concretamente las razones de su fundamento jurídico que justifican su decisión</w:t>
      </w:r>
      <w:r w:rsidRPr="007D6432">
        <w:rPr>
          <w:rFonts w:ascii="Bookman Old Style" w:hAnsi="Bookman Old Style" w:cs="Courier"/>
          <w:b/>
          <w:bCs/>
          <w:i/>
          <w:iCs/>
          <w:sz w:val="24"/>
          <w:szCs w:val="24"/>
          <w:lang w:eastAsia="es-CO"/>
        </w:rPr>
        <w:t>. Pues simplemente se indicó que estaba probado en las condiciones generales de la póliza haberse pactado la creación de protección que cubriría la prima por los siguientes años hasta que el asegurado cumpliera la edad de 80 años, y al haberse demostrado el agotamiento del fondo, devenía claramente la terminación del contrato de seguro por el no pago de la prima según lo reglado por el artículo 1068 del Código de Comercio.</w:t>
      </w:r>
      <w:r w:rsidRPr="007D6432">
        <w:rPr>
          <w:rFonts w:ascii="Bookman Old Style" w:hAnsi="Bookman Old Style" w:cs="Courier"/>
          <w:i/>
          <w:iCs/>
          <w:sz w:val="24"/>
          <w:szCs w:val="24"/>
          <w:lang w:eastAsia="es-CO"/>
        </w:rPr>
        <w:t xml:space="preserve"> </w:t>
      </w:r>
    </w:p>
    <w:p w14:paraId="3A552ED0" w14:textId="77777777" w:rsidR="007D6432" w:rsidRPr="007D6432" w:rsidRDefault="007D6432" w:rsidP="007D6432">
      <w:pPr>
        <w:autoSpaceDE w:val="0"/>
        <w:autoSpaceDN w:val="0"/>
        <w:adjustRightInd w:val="0"/>
        <w:spacing w:after="0"/>
        <w:ind w:left="709"/>
        <w:rPr>
          <w:rFonts w:ascii="Bookman Old Style" w:hAnsi="Bookman Old Style" w:cs="Courier"/>
          <w:i/>
          <w:iCs/>
          <w:sz w:val="24"/>
          <w:szCs w:val="24"/>
          <w:lang w:eastAsia="es-CO"/>
        </w:rPr>
      </w:pPr>
    </w:p>
    <w:p w14:paraId="46D1765B" w14:textId="12192ADB" w:rsidR="007D6432" w:rsidRDefault="007D6432" w:rsidP="00D910E5">
      <w:pPr>
        <w:pStyle w:val="Sinespaciado"/>
        <w:spacing w:line="276" w:lineRule="auto"/>
        <w:ind w:left="709"/>
        <w:jc w:val="both"/>
        <w:rPr>
          <w:rFonts w:ascii="Bookman Old Style" w:hAnsi="Bookman Old Style" w:cs="Courier"/>
          <w:i/>
          <w:iCs/>
          <w:sz w:val="24"/>
          <w:szCs w:val="24"/>
          <w:lang w:eastAsia="es-CO"/>
        </w:rPr>
      </w:pPr>
      <w:r w:rsidRPr="007D6432">
        <w:rPr>
          <w:rFonts w:ascii="Bookman Old Style" w:hAnsi="Bookman Old Style" w:cs="Courier"/>
          <w:b/>
          <w:bCs/>
          <w:i/>
          <w:iCs/>
          <w:sz w:val="24"/>
          <w:szCs w:val="24"/>
          <w:lang w:eastAsia="es-CO"/>
        </w:rPr>
        <w:t>Aclarado lo anterior, no le asiste razón al juez de primera instancia en afirmar que la póliza de seguro de vida objeto del proceso se había pactado la constitución de un fondo de protección con los valores de cesión o rescate</w:t>
      </w:r>
      <w:r w:rsidRPr="007D6432">
        <w:rPr>
          <w:rFonts w:ascii="Bookman Old Style" w:hAnsi="Bookman Old Style" w:cs="Courier"/>
          <w:i/>
          <w:iCs/>
          <w:sz w:val="24"/>
          <w:szCs w:val="24"/>
          <w:lang w:eastAsia="es-CO"/>
        </w:rPr>
        <w:t xml:space="preserve">, </w:t>
      </w:r>
      <w:r w:rsidRPr="007D6432">
        <w:rPr>
          <w:rFonts w:ascii="Bookman Old Style" w:hAnsi="Bookman Old Style" w:cs="Courier"/>
          <w:b/>
          <w:bCs/>
          <w:i/>
          <w:iCs/>
          <w:sz w:val="24"/>
          <w:szCs w:val="24"/>
          <w:lang w:eastAsia="es-CO"/>
        </w:rPr>
        <w:t>a partir del cual con una proyección de rentabilidad del 24%, se cubriría el pago de la prima por los años subsiguientes de vigencia hasta que el asegurado cumpliera 80 años de edad, razón por la cual, al haberse agotado los valores de rescate acumulados, según decir de la parte demandada, fueron debido a la variación de las condiciones del mercado experimentados por la economía nacional durante la vigencia de la misma</w:t>
      </w:r>
      <w:r w:rsidRPr="007D6432">
        <w:rPr>
          <w:rFonts w:ascii="Bookman Old Style" w:hAnsi="Bookman Old Style" w:cs="Courier"/>
          <w:i/>
          <w:iCs/>
          <w:sz w:val="24"/>
          <w:szCs w:val="24"/>
          <w:lang w:eastAsia="es-CO"/>
        </w:rPr>
        <w:t xml:space="preserve">, </w:t>
      </w:r>
      <w:r w:rsidRPr="007D6432">
        <w:rPr>
          <w:rFonts w:ascii="Bookman Old Style" w:hAnsi="Bookman Old Style" w:cs="Courier"/>
          <w:b/>
          <w:bCs/>
          <w:i/>
          <w:iCs/>
          <w:sz w:val="24"/>
          <w:szCs w:val="24"/>
          <w:lang w:eastAsia="es-CO"/>
        </w:rPr>
        <w:t xml:space="preserve">pues según un concepto emitido de la Superintendencia Financiera, no resulta aceptable indicar tal afirmación por parte de la sociedad demandada para haber dado por terminado el contrato de seguro, con el argumento del agotamiento de los valores de rescate </w:t>
      </w:r>
      <w:r w:rsidRPr="007D6432">
        <w:rPr>
          <w:rFonts w:ascii="Bookman Old Style" w:hAnsi="Bookman Old Style" w:cs="Courier"/>
          <w:b/>
          <w:bCs/>
          <w:i/>
          <w:iCs/>
          <w:sz w:val="24"/>
          <w:szCs w:val="24"/>
          <w:lang w:eastAsia="es-CO"/>
        </w:rPr>
        <w:lastRenderedPageBreak/>
        <w:t xml:space="preserve">acumulados destinados para </w:t>
      </w:r>
      <w:r w:rsidRPr="007D6432">
        <w:rPr>
          <w:rFonts w:ascii="Bookman Old Style" w:hAnsi="Bookman Old Style" w:cs="Courier"/>
          <w:i/>
          <w:iCs/>
          <w:sz w:val="24"/>
          <w:szCs w:val="24"/>
          <w:lang w:eastAsia="es-CO"/>
        </w:rPr>
        <w:t>el pago de las primas subsiguientes</w:t>
      </w:r>
      <w:r>
        <w:rPr>
          <w:rFonts w:ascii="Bookman Old Style" w:hAnsi="Bookman Old Style" w:cs="Courier"/>
          <w:i/>
          <w:iCs/>
          <w:sz w:val="24"/>
          <w:szCs w:val="24"/>
          <w:lang w:eastAsia="es-CO"/>
        </w:rPr>
        <w:t>».</w:t>
      </w:r>
    </w:p>
    <w:p w14:paraId="6A8DBBDE" w14:textId="77777777" w:rsidR="00015CDA" w:rsidRDefault="00015CDA" w:rsidP="00D910E5">
      <w:pPr>
        <w:pStyle w:val="Sinespaciado"/>
        <w:spacing w:line="276" w:lineRule="auto"/>
        <w:ind w:left="709"/>
        <w:jc w:val="both"/>
        <w:rPr>
          <w:rFonts w:ascii="Bookman Old Style" w:hAnsi="Bookman Old Style" w:cs="Arial"/>
          <w:sz w:val="28"/>
          <w:szCs w:val="28"/>
        </w:rPr>
      </w:pPr>
    </w:p>
    <w:p w14:paraId="2AE6B9EF" w14:textId="2A843D83" w:rsidR="007D6432" w:rsidRDefault="000166D1"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De manera que si bien son variados los aspectos que se cuestionan frente a la providencia de primer grado, el hecho de que el </w:t>
      </w:r>
      <w:r>
        <w:rPr>
          <w:rFonts w:ascii="Bookman Old Style" w:hAnsi="Bookman Old Style" w:cs="Arial"/>
          <w:i/>
          <w:iCs/>
          <w:sz w:val="28"/>
          <w:szCs w:val="28"/>
        </w:rPr>
        <w:t>ad quem</w:t>
      </w:r>
      <w:r>
        <w:rPr>
          <w:rFonts w:ascii="Bookman Old Style" w:hAnsi="Bookman Old Style" w:cs="Arial"/>
          <w:sz w:val="28"/>
          <w:szCs w:val="28"/>
        </w:rPr>
        <w:t xml:space="preserve"> se haya enfocado únicamente en la interpretación de dichas cláusulas no convierte en incongruente el fallo confutado. Y si bien no se cuestionó en concreto el cumplimiento de las obligaciones por parte de la aseguradora, lo cierto es que aquél es un </w:t>
      </w:r>
      <w:r w:rsidR="00836A94">
        <w:rPr>
          <w:rFonts w:ascii="Bookman Old Style" w:hAnsi="Bookman Old Style" w:cs="Arial"/>
          <w:sz w:val="28"/>
          <w:szCs w:val="28"/>
        </w:rPr>
        <w:t>tema</w:t>
      </w:r>
      <w:r>
        <w:rPr>
          <w:rFonts w:ascii="Bookman Old Style" w:hAnsi="Bookman Old Style" w:cs="Arial"/>
          <w:sz w:val="28"/>
          <w:szCs w:val="28"/>
        </w:rPr>
        <w:t xml:space="preserve"> que indiscutiblemente se debía </w:t>
      </w:r>
      <w:r w:rsidR="00836A94">
        <w:rPr>
          <w:rFonts w:ascii="Bookman Old Style" w:hAnsi="Bookman Old Style" w:cs="Arial"/>
          <w:sz w:val="28"/>
          <w:szCs w:val="28"/>
        </w:rPr>
        <w:t>abordar</w:t>
      </w:r>
      <w:r>
        <w:rPr>
          <w:rFonts w:ascii="Bookman Old Style" w:hAnsi="Bookman Old Style" w:cs="Arial"/>
          <w:sz w:val="28"/>
          <w:szCs w:val="28"/>
        </w:rPr>
        <w:t xml:space="preserve"> como consecuencia de haberse alegado la indebida interpretación de las condiciones generales del contrato de seguro. </w:t>
      </w:r>
      <w:r w:rsidR="00264569">
        <w:rPr>
          <w:rFonts w:ascii="Bookman Old Style" w:hAnsi="Bookman Old Style" w:cs="Arial"/>
          <w:sz w:val="28"/>
          <w:szCs w:val="28"/>
        </w:rPr>
        <w:t>Esto es</w:t>
      </w:r>
      <w:r>
        <w:rPr>
          <w:rFonts w:ascii="Bookman Old Style" w:hAnsi="Bookman Old Style" w:cs="Arial"/>
          <w:sz w:val="28"/>
          <w:szCs w:val="28"/>
        </w:rPr>
        <w:t xml:space="preserve">, precisamente, el recurso interpuesto </w:t>
      </w:r>
      <w:r w:rsidRPr="007225E4">
        <w:rPr>
          <w:rFonts w:ascii="Bookman Old Style" w:hAnsi="Bookman Old Style" w:cs="Arial"/>
          <w:sz w:val="28"/>
          <w:szCs w:val="28"/>
        </w:rPr>
        <w:t>busca</w:t>
      </w:r>
      <w:r w:rsidR="00464D5F" w:rsidRPr="007225E4">
        <w:rPr>
          <w:rFonts w:ascii="Bookman Old Style" w:hAnsi="Bookman Old Style" w:cs="Arial"/>
          <w:sz w:val="28"/>
          <w:szCs w:val="28"/>
        </w:rPr>
        <w:t>ba</w:t>
      </w:r>
      <w:r w:rsidRPr="00464D5F">
        <w:rPr>
          <w:rFonts w:ascii="Bookman Old Style" w:hAnsi="Bookman Old Style" w:cs="Arial"/>
          <w:color w:val="FF0000"/>
          <w:sz w:val="28"/>
          <w:szCs w:val="28"/>
        </w:rPr>
        <w:t xml:space="preserve"> </w:t>
      </w:r>
      <w:r>
        <w:rPr>
          <w:rFonts w:ascii="Bookman Old Style" w:hAnsi="Bookman Old Style" w:cs="Arial"/>
          <w:sz w:val="28"/>
          <w:szCs w:val="28"/>
        </w:rPr>
        <w:t xml:space="preserve">evidenciar que el </w:t>
      </w:r>
      <w:r w:rsidR="00274F7C">
        <w:rPr>
          <w:rFonts w:ascii="Bookman Old Style" w:hAnsi="Bookman Old Style" w:cs="Arial"/>
          <w:sz w:val="28"/>
          <w:szCs w:val="28"/>
        </w:rPr>
        <w:t>acto</w:t>
      </w:r>
      <w:r>
        <w:rPr>
          <w:rFonts w:ascii="Bookman Old Style" w:hAnsi="Bookman Old Style" w:cs="Arial"/>
          <w:sz w:val="28"/>
          <w:szCs w:val="28"/>
        </w:rPr>
        <w:t xml:space="preserve"> fue incumplido por la demandada, con independencia de que la disposición 6.2 otorgue o no a la entidad la facultad para finiquitar unilateralmente el negocio jurídico.  </w:t>
      </w:r>
    </w:p>
    <w:p w14:paraId="0AF6E3E2" w14:textId="3C910AC0" w:rsidR="000166D1" w:rsidRDefault="000166D1" w:rsidP="00F92684">
      <w:pPr>
        <w:pStyle w:val="Sinespaciado"/>
        <w:spacing w:line="360" w:lineRule="auto"/>
        <w:ind w:firstLine="709"/>
        <w:jc w:val="both"/>
        <w:rPr>
          <w:rFonts w:ascii="Bookman Old Style" w:hAnsi="Bookman Old Style" w:cs="Arial"/>
          <w:sz w:val="28"/>
          <w:szCs w:val="28"/>
        </w:rPr>
      </w:pPr>
    </w:p>
    <w:p w14:paraId="235643B0" w14:textId="48E0E723" w:rsidR="000166D1" w:rsidRDefault="000B513B"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Memórese que, para esta Sala, </w:t>
      </w:r>
      <w:r w:rsidRPr="000B513B">
        <w:rPr>
          <w:rFonts w:ascii="Bookman Old Style" w:hAnsi="Bookman Old Style" w:cs="Arial"/>
          <w:sz w:val="28"/>
          <w:szCs w:val="28"/>
        </w:rPr>
        <w:t>el sentenciador -al margen del contenido de la apelación- tiene el deber de decidir las materias</w:t>
      </w:r>
      <w:r>
        <w:rPr>
          <w:rFonts w:ascii="Bookman Old Style" w:hAnsi="Bookman Old Style" w:cs="Arial"/>
          <w:sz w:val="28"/>
          <w:szCs w:val="28"/>
        </w:rPr>
        <w:t xml:space="preserve"> </w:t>
      </w:r>
      <w:r w:rsidRPr="000B513B">
        <w:rPr>
          <w:rFonts w:ascii="Bookman Old Style" w:hAnsi="Bookman Old Style" w:cs="Arial"/>
          <w:sz w:val="28"/>
          <w:szCs w:val="28"/>
        </w:rPr>
        <w:t xml:space="preserve">tocantes a presupuestos del proceso, </w:t>
      </w:r>
      <w:r w:rsidRPr="000B513B">
        <w:rPr>
          <w:rFonts w:ascii="Bookman Old Style" w:hAnsi="Bookman Old Style" w:cs="Arial"/>
          <w:sz w:val="28"/>
          <w:szCs w:val="28"/>
          <w:u w:val="single"/>
        </w:rPr>
        <w:t xml:space="preserve">los temas que tengan conexión necesaria con la decisión de alzada </w:t>
      </w:r>
      <w:r w:rsidRPr="000B513B">
        <w:rPr>
          <w:rFonts w:ascii="Bookman Old Style" w:hAnsi="Bookman Old Style" w:cs="Arial"/>
          <w:sz w:val="28"/>
          <w:szCs w:val="28"/>
        </w:rPr>
        <w:t xml:space="preserve">o </w:t>
      </w:r>
      <w:r>
        <w:rPr>
          <w:rFonts w:ascii="Bookman Old Style" w:hAnsi="Bookman Old Style" w:cs="Arial"/>
          <w:sz w:val="28"/>
          <w:szCs w:val="28"/>
        </w:rPr>
        <w:t>aquellos</w:t>
      </w:r>
      <w:r w:rsidRPr="000B513B">
        <w:rPr>
          <w:rFonts w:ascii="Bookman Old Style" w:hAnsi="Bookman Old Style" w:cs="Arial"/>
          <w:sz w:val="28"/>
          <w:szCs w:val="28"/>
        </w:rPr>
        <w:t xml:space="preserve"> cuyo pronunciamiento sea oficioso.</w:t>
      </w:r>
      <w:r>
        <w:rPr>
          <w:rFonts w:ascii="Bookman Old Style" w:hAnsi="Bookman Old Style" w:cs="Arial"/>
          <w:sz w:val="28"/>
          <w:szCs w:val="28"/>
        </w:rPr>
        <w:t xml:space="preserve"> Al respecto, en SC1641-2022 se aseveró que:</w:t>
      </w:r>
    </w:p>
    <w:p w14:paraId="770FF9CF" w14:textId="3AEF8112" w:rsidR="000B513B" w:rsidRDefault="000B513B" w:rsidP="00F92684">
      <w:pPr>
        <w:pStyle w:val="Sinespaciado"/>
        <w:spacing w:line="360" w:lineRule="auto"/>
        <w:ind w:firstLine="709"/>
        <w:jc w:val="both"/>
        <w:rPr>
          <w:rFonts w:ascii="Bookman Old Style" w:hAnsi="Bookman Old Style" w:cs="Arial"/>
          <w:sz w:val="28"/>
          <w:szCs w:val="28"/>
        </w:rPr>
      </w:pPr>
    </w:p>
    <w:p w14:paraId="7797DA00" w14:textId="7E69C26E"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r>
        <w:rPr>
          <w:rFonts w:ascii="Bookman Old Style" w:hAnsi="Bookman Old Style" w:cs="Arial"/>
          <w:sz w:val="28"/>
          <w:szCs w:val="28"/>
        </w:rPr>
        <w:t>«</w:t>
      </w:r>
      <w:r w:rsidRPr="000B513B">
        <w:rPr>
          <w:rFonts w:ascii="Bookman Old Style" w:hAnsi="Bookman Old Style" w:cs="Arial"/>
          <w:i/>
          <w:iCs/>
          <w:sz w:val="24"/>
          <w:szCs w:val="24"/>
          <w:lang w:val="es-ES"/>
        </w:rPr>
        <w:t xml:space="preserve">Ahora bien, la regla enunciada en precedencia no es absoluta, ya que el sentenciador, al margen del contenido de la apelación, tiene el deber de decidir las materias: (I) tocantes a presupuestos del proceso, la acción o la sentencia favorable, (II) que tengan conexión necesaria con la decisión de alzada o (III) cuyo pronunciamiento sea oficioso. </w:t>
      </w:r>
    </w:p>
    <w:p w14:paraId="4C229BB7"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p>
    <w:p w14:paraId="665E4223" w14:textId="48FA38CD" w:rsidR="000B513B" w:rsidRPr="000B513B" w:rsidRDefault="000B513B" w:rsidP="000B513B">
      <w:pPr>
        <w:pStyle w:val="Sinespaciado"/>
        <w:spacing w:line="276" w:lineRule="auto"/>
        <w:ind w:left="709"/>
        <w:jc w:val="both"/>
        <w:rPr>
          <w:rFonts w:ascii="Bookman Old Style" w:hAnsi="Bookman Old Style" w:cs="Arial"/>
          <w:i/>
          <w:iCs/>
          <w:sz w:val="24"/>
          <w:szCs w:val="24"/>
        </w:rPr>
      </w:pPr>
      <w:r w:rsidRPr="000B513B">
        <w:rPr>
          <w:rFonts w:ascii="Bookman Old Style" w:hAnsi="Bookman Old Style" w:cs="Arial"/>
          <w:i/>
          <w:iCs/>
          <w:sz w:val="24"/>
          <w:szCs w:val="24"/>
        </w:rPr>
        <w:t>(…)</w:t>
      </w:r>
    </w:p>
    <w:p w14:paraId="491C1A20"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p>
    <w:p w14:paraId="56230D33"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r w:rsidRPr="000B513B">
        <w:rPr>
          <w:rFonts w:ascii="Bookman Old Style" w:hAnsi="Bookman Old Style" w:cs="Arial"/>
          <w:i/>
          <w:iCs/>
          <w:sz w:val="24"/>
          <w:szCs w:val="24"/>
          <w:lang w:val="es-ES"/>
        </w:rPr>
        <w:t xml:space="preserve">La Sala, refiriéndose al anterior estatuto procesal, en consideraciones que mantienen vigencia, doctrinó: «se tiene que, como regla de principio, la decisión del superior está restringida a los argumentos expuestos por el apelante, lo que no obsta para que sentencie sobre temáticas respecto de las cuales el ordenamiento le impone pronunciarse motu proprio, por estar íntimamente relacionadas con el asunto sometido a su conocimiento» (SC3918, 8 sep. 2021, rad. n.° 2008-00106-01). </w:t>
      </w:r>
    </w:p>
    <w:p w14:paraId="19BE339F"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p>
    <w:p w14:paraId="30CF294A"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r w:rsidRPr="000B513B">
        <w:rPr>
          <w:rFonts w:ascii="Bookman Old Style" w:hAnsi="Bookman Old Style" w:cs="Arial"/>
          <w:i/>
          <w:iCs/>
          <w:sz w:val="24"/>
          <w:szCs w:val="24"/>
          <w:lang w:val="es-ES"/>
        </w:rPr>
        <w:t xml:space="preserve">Significa que el sentenciador, de forma excepcional, debe ir más allá de los argumentos blandidos por el apelante, para (I) proteger los derechos de ciertas personas, (II) reconocer situaciones sobrevinientes que afectan el derecho controvertido, (III) resolver materias que no fueron falladas por el a quo, o (IV) revisar aspectos inescindiblemente conectados con la decisión. </w:t>
      </w:r>
    </w:p>
    <w:p w14:paraId="166FBD26" w14:textId="77777777"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p>
    <w:p w14:paraId="11376795" w14:textId="048D36FC" w:rsidR="000B513B" w:rsidRPr="000B513B" w:rsidRDefault="000B513B" w:rsidP="000B513B">
      <w:pPr>
        <w:pStyle w:val="Sinespaciado"/>
        <w:spacing w:line="276" w:lineRule="auto"/>
        <w:ind w:left="709"/>
        <w:jc w:val="both"/>
        <w:rPr>
          <w:rFonts w:ascii="Bookman Old Style" w:hAnsi="Bookman Old Style" w:cs="Arial"/>
          <w:i/>
          <w:iCs/>
          <w:sz w:val="24"/>
          <w:szCs w:val="24"/>
          <w:lang w:val="es-ES"/>
        </w:rPr>
      </w:pPr>
      <w:r w:rsidRPr="000B513B">
        <w:rPr>
          <w:rFonts w:ascii="Bookman Old Style" w:hAnsi="Bookman Old Style" w:cs="Arial"/>
          <w:i/>
          <w:iCs/>
          <w:sz w:val="24"/>
          <w:szCs w:val="24"/>
          <w:lang w:val="es-ES"/>
        </w:rPr>
        <w:t>Sobre esta última posibilidad la Corte ha señalado: «que existen puntos íntimamente ligados al tema objeto de la alzada que, aun cuando no hayan sido cuestionados, no se encuentran vedados para el ad quem» (SC444, 25 en. 2017, rad. n.° 2012-02003-00). Por tanto, si bien es cierto que «</w:t>
      </w:r>
      <w:r w:rsidRPr="00935AE2">
        <w:rPr>
          <w:rFonts w:ascii="Bookman Old Style" w:hAnsi="Bookman Old Style" w:cs="Arial"/>
          <w:i/>
          <w:iCs/>
          <w:sz w:val="24"/>
          <w:szCs w:val="24"/>
          <w:u w:val="single"/>
          <w:lang w:val="es-ES"/>
        </w:rPr>
        <w:t>los jueces de apelación no pueden fallar de oficio sobre ningún asunto que no les haya sido propuesto», también lo es que esta regla no tiene cabida frente a tópicos que «estén íntimamente ligados con el objeto de la impugnación.</w:t>
      </w:r>
      <w:r w:rsidRPr="000B513B">
        <w:rPr>
          <w:rFonts w:ascii="Bookman Old Style" w:hAnsi="Bookman Old Style" w:cs="Arial"/>
          <w:i/>
          <w:iCs/>
          <w:sz w:val="24"/>
          <w:szCs w:val="24"/>
          <w:lang w:val="es-ES"/>
        </w:rPr>
        <w:t xml:space="preserve"> De suerte que cuando la apelación ha sido puntual, los demás aspectos de la sentencia -esto es los que no fueron objeto de recurso- adquieren la autoridad de la cosa juzgada» (SC14427, 10 oct. 2016, rad. n.° 2013-02839-00)».</w:t>
      </w:r>
    </w:p>
    <w:p w14:paraId="414DD41F" w14:textId="61CF784F" w:rsidR="007D6432" w:rsidRDefault="007D6432" w:rsidP="00F92684">
      <w:pPr>
        <w:pStyle w:val="Sinespaciado"/>
        <w:spacing w:line="360" w:lineRule="auto"/>
        <w:ind w:firstLine="709"/>
        <w:jc w:val="both"/>
        <w:rPr>
          <w:rFonts w:ascii="Bookman Old Style" w:hAnsi="Bookman Old Style" w:cs="Arial"/>
          <w:sz w:val="28"/>
          <w:szCs w:val="28"/>
        </w:rPr>
      </w:pPr>
    </w:p>
    <w:p w14:paraId="299FB3E2" w14:textId="4A882BA9" w:rsidR="008E44E3" w:rsidRDefault="000B513B" w:rsidP="000B513B">
      <w:pPr>
        <w:pStyle w:val="Sinespaciado"/>
        <w:spacing w:line="360" w:lineRule="auto"/>
        <w:ind w:firstLine="709"/>
        <w:jc w:val="both"/>
        <w:rPr>
          <w:rFonts w:ascii="Bookman Old Style" w:hAnsi="Bookman Old Style" w:cs="Arial"/>
          <w:b/>
          <w:sz w:val="28"/>
          <w:szCs w:val="28"/>
        </w:rPr>
      </w:pPr>
      <w:r>
        <w:rPr>
          <w:rFonts w:ascii="Bookman Old Style" w:hAnsi="Bookman Old Style" w:cs="Arial"/>
          <w:sz w:val="28"/>
          <w:szCs w:val="28"/>
        </w:rPr>
        <w:t>4. E</w:t>
      </w:r>
      <w:r w:rsidR="00070745">
        <w:rPr>
          <w:rFonts w:ascii="Bookman Old Style" w:hAnsi="Bookman Old Style" w:cs="Arial"/>
          <w:sz w:val="28"/>
          <w:szCs w:val="28"/>
        </w:rPr>
        <w:t>n una palabra</w:t>
      </w:r>
      <w:r>
        <w:rPr>
          <w:rFonts w:ascii="Bookman Old Style" w:hAnsi="Bookman Old Style" w:cs="Arial"/>
          <w:sz w:val="28"/>
          <w:szCs w:val="28"/>
        </w:rPr>
        <w:t xml:space="preserve">, no </w:t>
      </w:r>
      <w:r w:rsidR="00070745">
        <w:rPr>
          <w:rFonts w:ascii="Bookman Old Style" w:hAnsi="Bookman Old Style" w:cs="Arial"/>
          <w:sz w:val="28"/>
          <w:szCs w:val="28"/>
        </w:rPr>
        <w:t>está</w:t>
      </w:r>
      <w:r>
        <w:rPr>
          <w:rFonts w:ascii="Bookman Old Style" w:hAnsi="Bookman Old Style" w:cs="Arial"/>
          <w:sz w:val="28"/>
          <w:szCs w:val="28"/>
        </w:rPr>
        <w:t xml:space="preserve"> fundado el cargo esbozado. </w:t>
      </w:r>
    </w:p>
    <w:p w14:paraId="76B84FD2" w14:textId="77777777" w:rsidR="008E44E3" w:rsidRDefault="008E44E3" w:rsidP="00F92684">
      <w:pPr>
        <w:pStyle w:val="Sinespaciado"/>
        <w:spacing w:line="360" w:lineRule="auto"/>
        <w:ind w:firstLine="709"/>
        <w:jc w:val="center"/>
        <w:rPr>
          <w:rFonts w:ascii="Bookman Old Style" w:hAnsi="Bookman Old Style" w:cs="Arial"/>
          <w:b/>
          <w:sz w:val="28"/>
          <w:szCs w:val="28"/>
        </w:rPr>
      </w:pPr>
    </w:p>
    <w:p w14:paraId="4FC68283" w14:textId="1A457C25" w:rsidR="001E0C85" w:rsidRPr="00A17175" w:rsidRDefault="001E0C85" w:rsidP="004554F6">
      <w:pPr>
        <w:pStyle w:val="Sinespaciado"/>
        <w:spacing w:line="360" w:lineRule="auto"/>
        <w:jc w:val="center"/>
        <w:rPr>
          <w:rFonts w:ascii="Bookman Old Style" w:hAnsi="Bookman Old Style" w:cs="Arial"/>
          <w:b/>
          <w:sz w:val="28"/>
          <w:szCs w:val="28"/>
        </w:rPr>
      </w:pPr>
      <w:r w:rsidRPr="00A17175">
        <w:rPr>
          <w:rFonts w:ascii="Bookman Old Style" w:hAnsi="Bookman Old Style" w:cs="Arial"/>
          <w:b/>
          <w:sz w:val="28"/>
          <w:szCs w:val="28"/>
        </w:rPr>
        <w:t>CARGO SEGUNDO</w:t>
      </w:r>
    </w:p>
    <w:p w14:paraId="0D89AF70" w14:textId="77777777" w:rsidR="001E0C85" w:rsidRDefault="001E0C85" w:rsidP="00F92684">
      <w:pPr>
        <w:pStyle w:val="Sinespaciado"/>
        <w:spacing w:line="360" w:lineRule="auto"/>
        <w:ind w:firstLine="709"/>
        <w:jc w:val="center"/>
        <w:rPr>
          <w:rFonts w:ascii="Bookman Old Style" w:hAnsi="Bookman Old Style" w:cs="Arial"/>
          <w:b/>
          <w:sz w:val="28"/>
          <w:szCs w:val="28"/>
        </w:rPr>
      </w:pPr>
    </w:p>
    <w:p w14:paraId="0BE62B40" w14:textId="5F71E633" w:rsidR="00CD3387" w:rsidRDefault="00F86C5E" w:rsidP="00D910E5">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Soportado en la causal segunda de casación, el censor acusó la sentencia de </w:t>
      </w:r>
      <w:r w:rsidRPr="00A0305B">
        <w:rPr>
          <w:rFonts w:ascii="Bookman Old Style" w:hAnsi="Bookman Old Style" w:cs="Arial"/>
          <w:sz w:val="28"/>
          <w:szCs w:val="28"/>
        </w:rPr>
        <w:t xml:space="preserve">segunda instancia de violar de manera indirecta los artículos 1602, 1609, 1618, 1621 y 1622 del Código Civil, así como los cánones 1036, 1045, 1068, 1152, </w:t>
      </w:r>
      <w:r w:rsidRPr="00A0305B">
        <w:rPr>
          <w:rFonts w:ascii="Bookman Old Style" w:hAnsi="Bookman Old Style" w:cs="Arial"/>
          <w:sz w:val="28"/>
          <w:szCs w:val="28"/>
        </w:rPr>
        <w:lastRenderedPageBreak/>
        <w:t xml:space="preserve">1153 del Código de Comercio. </w:t>
      </w:r>
      <w:r w:rsidR="00CD3387" w:rsidRPr="00A0305B">
        <w:rPr>
          <w:rFonts w:ascii="Bookman Old Style" w:hAnsi="Bookman Old Style" w:cs="Arial"/>
          <w:sz w:val="28"/>
          <w:szCs w:val="28"/>
        </w:rPr>
        <w:t>Ello</w:t>
      </w:r>
      <w:r w:rsidR="00AC62C1" w:rsidRPr="00AC62C1">
        <w:rPr>
          <w:rFonts w:ascii="Bookman Old Style" w:hAnsi="Bookman Old Style" w:cs="Arial"/>
          <w:sz w:val="28"/>
          <w:szCs w:val="28"/>
        </w:rPr>
        <w:t>,</w:t>
      </w:r>
      <w:r w:rsidR="00CD3387" w:rsidRPr="00A0305B">
        <w:rPr>
          <w:rFonts w:ascii="Bookman Old Style" w:hAnsi="Bookman Old Style" w:cs="Arial"/>
          <w:sz w:val="28"/>
          <w:szCs w:val="28"/>
        </w:rPr>
        <w:t xml:space="preserve"> como consecuencia </w:t>
      </w:r>
      <w:r w:rsidR="00CD3387">
        <w:rPr>
          <w:rFonts w:ascii="Bookman Old Style" w:hAnsi="Bookman Old Style" w:cs="Arial"/>
          <w:sz w:val="28"/>
          <w:szCs w:val="28"/>
        </w:rPr>
        <w:t xml:space="preserve">de errores de hecho en la apreciación de los medios de prueba. </w:t>
      </w:r>
    </w:p>
    <w:p w14:paraId="3E571928" w14:textId="77777777" w:rsidR="00D235AF" w:rsidRDefault="00D235AF" w:rsidP="00D910E5">
      <w:pPr>
        <w:pStyle w:val="Sinespaciado"/>
        <w:spacing w:line="360" w:lineRule="auto"/>
        <w:ind w:firstLine="709"/>
        <w:jc w:val="both"/>
        <w:rPr>
          <w:rFonts w:ascii="Bookman Old Style" w:hAnsi="Bookman Old Style" w:cs="Arial"/>
          <w:sz w:val="28"/>
          <w:szCs w:val="28"/>
        </w:rPr>
      </w:pPr>
    </w:p>
    <w:p w14:paraId="19A64DE9" w14:textId="7D0B8314" w:rsidR="00CD3387" w:rsidRPr="007225E4" w:rsidRDefault="00CD3387" w:rsidP="00F92684">
      <w:pPr>
        <w:pStyle w:val="Sinespaciado"/>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Aseveró </w:t>
      </w:r>
      <w:r w:rsidR="00F06A37">
        <w:rPr>
          <w:rFonts w:ascii="Bookman Old Style" w:hAnsi="Bookman Old Style" w:cs="Arial"/>
          <w:sz w:val="28"/>
          <w:szCs w:val="28"/>
        </w:rPr>
        <w:t>que</w:t>
      </w:r>
      <w:r w:rsidR="00DE3ED6">
        <w:rPr>
          <w:rFonts w:ascii="Bookman Old Style" w:hAnsi="Bookman Old Style" w:cs="Arial"/>
          <w:sz w:val="28"/>
          <w:szCs w:val="28"/>
        </w:rPr>
        <w:t xml:space="preserve"> se cercenó el contenido de la póliza de seguro al considerar equivocadamente que </w:t>
      </w:r>
      <w:r w:rsidR="00DE3ED6" w:rsidRPr="007225E4">
        <w:rPr>
          <w:rFonts w:ascii="Bookman Old Style" w:hAnsi="Bookman Old Style" w:cs="Arial"/>
          <w:sz w:val="28"/>
          <w:szCs w:val="28"/>
        </w:rPr>
        <w:t>«</w:t>
      </w:r>
      <w:r w:rsidR="00DE3ED6" w:rsidRPr="007225E4">
        <w:rPr>
          <w:rFonts w:ascii="Bookman Old Style" w:hAnsi="Bookman Old Style" w:cs="Arial"/>
          <w:i/>
          <w:iCs/>
          <w:sz w:val="24"/>
          <w:szCs w:val="24"/>
        </w:rPr>
        <w:t>por el solo hecho de que el tomador y a su vez asegurado José Chafic Aljure Caicedo hubiese pagado las atadas ocho (8) primas durante ocho (8) años en forma automática ello le dio el derecho de quedar asegurado por el valor pactado hasta la edad de ochenta (80) años</w:t>
      </w:r>
      <w:r w:rsidR="00DE3ED6" w:rsidRPr="007225E4">
        <w:rPr>
          <w:rFonts w:ascii="Bookman Old Style" w:hAnsi="Bookman Old Style" w:cs="Arial"/>
          <w:sz w:val="28"/>
          <w:szCs w:val="28"/>
        </w:rPr>
        <w:t>».</w:t>
      </w:r>
      <w:r w:rsidR="00083987" w:rsidRPr="007225E4">
        <w:rPr>
          <w:rFonts w:ascii="Bookman Old Style" w:hAnsi="Bookman Old Style" w:cs="Arial"/>
          <w:sz w:val="28"/>
          <w:szCs w:val="28"/>
        </w:rPr>
        <w:t xml:space="preserve"> Sin embargo, a juicio del censor, </w:t>
      </w:r>
      <w:r w:rsidR="00CB565A" w:rsidRPr="007225E4">
        <w:rPr>
          <w:rFonts w:ascii="Bookman Old Style" w:hAnsi="Bookman Old Style" w:cs="Arial"/>
          <w:sz w:val="28"/>
          <w:szCs w:val="28"/>
        </w:rPr>
        <w:t>dicho entendimiento es consecuencia de haber malinterpretado el contenido del clausulado del referido instrumento. Y es que, la «</w:t>
      </w:r>
      <w:r w:rsidR="00CB565A" w:rsidRPr="007225E4">
        <w:rPr>
          <w:rFonts w:ascii="Bookman Old Style" w:hAnsi="Bookman Old Style" w:cs="Arial"/>
          <w:i/>
          <w:iCs/>
          <w:sz w:val="24"/>
          <w:szCs w:val="24"/>
        </w:rPr>
        <w:t>lectura conjunta y sistemática de las mencionadas estipulaci</w:t>
      </w:r>
      <w:r w:rsidR="00CA2928" w:rsidRPr="007225E4">
        <w:rPr>
          <w:rFonts w:ascii="Bookman Old Style" w:hAnsi="Bookman Old Style" w:cs="Arial"/>
          <w:i/>
          <w:iCs/>
          <w:sz w:val="24"/>
          <w:szCs w:val="24"/>
        </w:rPr>
        <w:t>o</w:t>
      </w:r>
      <w:r w:rsidR="00CB565A" w:rsidRPr="007225E4">
        <w:rPr>
          <w:rFonts w:ascii="Bookman Old Style" w:hAnsi="Bookman Old Style" w:cs="Arial"/>
          <w:i/>
          <w:iCs/>
          <w:sz w:val="24"/>
          <w:szCs w:val="24"/>
        </w:rPr>
        <w:t>nes nego</w:t>
      </w:r>
      <w:r w:rsidR="00CA2928" w:rsidRPr="007225E4">
        <w:rPr>
          <w:rFonts w:ascii="Bookman Old Style" w:hAnsi="Bookman Old Style" w:cs="Arial"/>
          <w:i/>
          <w:iCs/>
          <w:sz w:val="24"/>
          <w:szCs w:val="24"/>
        </w:rPr>
        <w:t>ci</w:t>
      </w:r>
      <w:r w:rsidR="00CB565A" w:rsidRPr="007225E4">
        <w:rPr>
          <w:rFonts w:ascii="Bookman Old Style" w:hAnsi="Bookman Old Style" w:cs="Arial"/>
          <w:i/>
          <w:iCs/>
          <w:sz w:val="24"/>
          <w:szCs w:val="24"/>
        </w:rPr>
        <w:t>ales</w:t>
      </w:r>
      <w:r w:rsidR="00CA2928" w:rsidRPr="007225E4">
        <w:rPr>
          <w:rFonts w:ascii="Bookman Old Style" w:hAnsi="Bookman Old Style" w:cs="Arial"/>
          <w:i/>
          <w:iCs/>
          <w:sz w:val="24"/>
          <w:szCs w:val="24"/>
        </w:rPr>
        <w:t xml:space="preserve"> (condición 2.4 y 6.2)</w:t>
      </w:r>
      <w:r w:rsidR="00CB565A" w:rsidRPr="007225E4">
        <w:rPr>
          <w:rFonts w:ascii="Bookman Old Style" w:hAnsi="Bookman Old Style" w:cs="Arial"/>
          <w:i/>
          <w:iCs/>
          <w:sz w:val="24"/>
          <w:szCs w:val="24"/>
        </w:rPr>
        <w:t xml:space="preserve"> permiten concluir</w:t>
      </w:r>
      <w:r w:rsidR="00CA2928" w:rsidRPr="007225E4">
        <w:rPr>
          <w:rFonts w:ascii="Bookman Old Style" w:hAnsi="Bookman Old Style" w:cs="Arial"/>
          <w:i/>
          <w:iCs/>
          <w:sz w:val="24"/>
          <w:szCs w:val="24"/>
        </w:rPr>
        <w:t xml:space="preserve"> </w:t>
      </w:r>
      <w:r w:rsidR="00CB565A" w:rsidRPr="007225E4">
        <w:rPr>
          <w:rFonts w:ascii="Bookman Old Style" w:hAnsi="Bookman Old Style" w:cs="Arial"/>
          <w:i/>
          <w:iCs/>
          <w:sz w:val="24"/>
          <w:szCs w:val="24"/>
        </w:rPr>
        <w:t>que a</w:t>
      </w:r>
      <w:r w:rsidR="00CA2928" w:rsidRPr="007225E4">
        <w:rPr>
          <w:rFonts w:ascii="Bookman Old Style" w:hAnsi="Bookman Old Style" w:cs="Arial"/>
          <w:i/>
          <w:iCs/>
          <w:sz w:val="24"/>
          <w:szCs w:val="24"/>
        </w:rPr>
        <w:t>llí</w:t>
      </w:r>
      <w:r w:rsidR="00CB565A" w:rsidRPr="007225E4">
        <w:rPr>
          <w:rFonts w:ascii="Bookman Old Style" w:hAnsi="Bookman Old Style" w:cs="Arial"/>
          <w:i/>
          <w:iCs/>
          <w:sz w:val="24"/>
          <w:szCs w:val="24"/>
        </w:rPr>
        <w:t xml:space="preserve"> se pact</w:t>
      </w:r>
      <w:r w:rsidR="00CA2928" w:rsidRPr="007225E4">
        <w:rPr>
          <w:rFonts w:ascii="Bookman Old Style" w:hAnsi="Bookman Old Style" w:cs="Arial"/>
          <w:i/>
          <w:iCs/>
          <w:sz w:val="24"/>
          <w:szCs w:val="24"/>
        </w:rPr>
        <w:t>ó</w:t>
      </w:r>
      <w:r w:rsidR="00CB565A" w:rsidRPr="007225E4">
        <w:rPr>
          <w:rFonts w:ascii="Bookman Old Style" w:hAnsi="Bookman Old Style" w:cs="Arial"/>
          <w:i/>
          <w:iCs/>
          <w:sz w:val="24"/>
          <w:szCs w:val="24"/>
        </w:rPr>
        <w:t xml:space="preserve"> que si el asegurado pagaba la </w:t>
      </w:r>
      <w:r w:rsidR="00CA2928" w:rsidRPr="007225E4">
        <w:rPr>
          <w:rFonts w:ascii="Bookman Old Style" w:hAnsi="Bookman Old Style" w:cs="Arial"/>
          <w:i/>
          <w:iCs/>
          <w:sz w:val="24"/>
          <w:szCs w:val="24"/>
        </w:rPr>
        <w:t>s</w:t>
      </w:r>
      <w:r w:rsidR="00CB565A" w:rsidRPr="007225E4">
        <w:rPr>
          <w:rFonts w:ascii="Bookman Old Style" w:hAnsi="Bookman Old Style" w:cs="Arial"/>
          <w:i/>
          <w:iCs/>
          <w:sz w:val="24"/>
          <w:szCs w:val="24"/>
        </w:rPr>
        <w:t>uma por ocho (8) años ello le daba derecho a</w:t>
      </w:r>
      <w:r w:rsidR="00CA2928" w:rsidRPr="007225E4">
        <w:rPr>
          <w:rFonts w:ascii="Bookman Old Style" w:hAnsi="Bookman Old Style" w:cs="Arial"/>
          <w:i/>
          <w:iCs/>
          <w:sz w:val="24"/>
          <w:szCs w:val="24"/>
        </w:rPr>
        <w:t xml:space="preserve"> </w:t>
      </w:r>
      <w:r w:rsidR="00CB565A" w:rsidRPr="007225E4">
        <w:rPr>
          <w:rFonts w:ascii="Bookman Old Style" w:hAnsi="Bookman Old Style" w:cs="Arial"/>
          <w:i/>
          <w:iCs/>
          <w:sz w:val="24"/>
          <w:szCs w:val="24"/>
        </w:rPr>
        <w:t>quedar asegurado hasta la edad de ochenta (80) años, pero ese pago generaba, como</w:t>
      </w:r>
      <w:r w:rsidR="00CA2928" w:rsidRPr="007225E4">
        <w:rPr>
          <w:rFonts w:ascii="Bookman Old Style" w:hAnsi="Bookman Old Style" w:cs="Arial"/>
          <w:i/>
          <w:iCs/>
          <w:sz w:val="24"/>
          <w:szCs w:val="24"/>
        </w:rPr>
        <w:t xml:space="preserve"> </w:t>
      </w:r>
      <w:r w:rsidR="00CB565A" w:rsidRPr="007225E4">
        <w:rPr>
          <w:rFonts w:ascii="Bookman Old Style" w:hAnsi="Bookman Old Style" w:cs="Arial"/>
          <w:i/>
          <w:iCs/>
          <w:sz w:val="24"/>
          <w:szCs w:val="24"/>
        </w:rPr>
        <w:t>expresamente se dijo en la cl</w:t>
      </w:r>
      <w:r w:rsidR="00CA2928" w:rsidRPr="007225E4">
        <w:rPr>
          <w:rFonts w:ascii="Bookman Old Style" w:hAnsi="Bookman Old Style" w:cs="Arial"/>
          <w:i/>
          <w:iCs/>
          <w:sz w:val="24"/>
          <w:szCs w:val="24"/>
        </w:rPr>
        <w:t>á</w:t>
      </w:r>
      <w:r w:rsidR="00CB565A" w:rsidRPr="007225E4">
        <w:rPr>
          <w:rFonts w:ascii="Bookman Old Style" w:hAnsi="Bookman Old Style" w:cs="Arial"/>
          <w:i/>
          <w:iCs/>
          <w:sz w:val="24"/>
          <w:szCs w:val="24"/>
        </w:rPr>
        <w:t>usula 2 4, "valo</w:t>
      </w:r>
      <w:r w:rsidR="00CA2928" w:rsidRPr="007225E4">
        <w:rPr>
          <w:rFonts w:ascii="Bookman Old Style" w:hAnsi="Bookman Old Style" w:cs="Arial"/>
          <w:i/>
          <w:iCs/>
          <w:sz w:val="24"/>
          <w:szCs w:val="24"/>
        </w:rPr>
        <w:t>r</w:t>
      </w:r>
      <w:r w:rsidR="00CB565A" w:rsidRPr="007225E4">
        <w:rPr>
          <w:rFonts w:ascii="Bookman Old Style" w:hAnsi="Bookman Old Style" w:cs="Arial"/>
          <w:i/>
          <w:iCs/>
          <w:sz w:val="24"/>
          <w:szCs w:val="24"/>
        </w:rPr>
        <w:t>es de cesión automáticamente"</w:t>
      </w:r>
      <w:r w:rsidR="00CA2928" w:rsidRPr="007225E4">
        <w:rPr>
          <w:rFonts w:ascii="Bookman Old Style" w:hAnsi="Bookman Old Style" w:cs="Arial"/>
          <w:i/>
          <w:iCs/>
          <w:sz w:val="24"/>
          <w:szCs w:val="24"/>
        </w:rPr>
        <w:t>.</w:t>
      </w:r>
      <w:r w:rsidR="00CB565A" w:rsidRPr="007225E4">
        <w:rPr>
          <w:rFonts w:ascii="Bookman Old Style" w:hAnsi="Bookman Old Style" w:cs="Arial"/>
          <w:i/>
          <w:iCs/>
          <w:sz w:val="24"/>
          <w:szCs w:val="24"/>
        </w:rPr>
        <w:t xml:space="preserve"> Esos "valo</w:t>
      </w:r>
      <w:r w:rsidR="00CA2928" w:rsidRPr="007225E4">
        <w:rPr>
          <w:rFonts w:ascii="Bookman Old Style" w:hAnsi="Bookman Old Style" w:cs="Arial"/>
          <w:i/>
          <w:iCs/>
          <w:sz w:val="24"/>
          <w:szCs w:val="24"/>
        </w:rPr>
        <w:t>r</w:t>
      </w:r>
      <w:r w:rsidR="00CB565A" w:rsidRPr="007225E4">
        <w:rPr>
          <w:rFonts w:ascii="Bookman Old Style" w:hAnsi="Bookman Old Style" w:cs="Arial"/>
          <w:i/>
          <w:iCs/>
          <w:sz w:val="24"/>
          <w:szCs w:val="24"/>
        </w:rPr>
        <w:t>es de cesión"</w:t>
      </w:r>
      <w:r w:rsidR="00CA2928" w:rsidRPr="007225E4">
        <w:rPr>
          <w:rFonts w:ascii="Bookman Old Style" w:hAnsi="Bookman Old Style" w:cs="Arial"/>
          <w:i/>
          <w:iCs/>
          <w:sz w:val="24"/>
          <w:szCs w:val="24"/>
        </w:rPr>
        <w:t xml:space="preserve"> </w:t>
      </w:r>
      <w:r w:rsidR="005B3704" w:rsidRPr="007225E4">
        <w:rPr>
          <w:rFonts w:ascii="Bookman Old Style" w:hAnsi="Bookman Old Style" w:cs="Arial"/>
          <w:i/>
          <w:iCs/>
          <w:sz w:val="24"/>
          <w:szCs w:val="24"/>
        </w:rPr>
        <w:t>tenían</w:t>
      </w:r>
      <w:r w:rsidR="00CA2928" w:rsidRPr="007225E4">
        <w:rPr>
          <w:rFonts w:ascii="Bookman Old Style" w:hAnsi="Bookman Old Style" w:cs="Arial"/>
          <w:i/>
          <w:iCs/>
          <w:sz w:val="24"/>
          <w:szCs w:val="24"/>
        </w:rPr>
        <w:t xml:space="preserve"> como propósito cubrir el valor de la prima, pero si los mismos no resultaren ser suficientes para cumplir con tal cometido, conforme a lo señalado en la Clausula 6 2 de la misma Póliza, ello daba lugar a que se produjera la terminación del contrato, tal y como ocurrió en el presente caso</w:t>
      </w:r>
      <w:r w:rsidR="00CA2928" w:rsidRPr="007225E4">
        <w:rPr>
          <w:rFonts w:ascii="Bookman Old Style" w:hAnsi="Bookman Old Style" w:cs="Arial"/>
          <w:sz w:val="28"/>
          <w:szCs w:val="28"/>
        </w:rPr>
        <w:t>».</w:t>
      </w:r>
    </w:p>
    <w:p w14:paraId="113D03D9" w14:textId="4E704829" w:rsidR="00CA2928" w:rsidRPr="007225E4" w:rsidRDefault="00CA2928" w:rsidP="00F92684">
      <w:pPr>
        <w:pStyle w:val="Sinespaciado"/>
        <w:spacing w:line="360" w:lineRule="auto"/>
        <w:ind w:firstLine="709"/>
        <w:jc w:val="both"/>
        <w:rPr>
          <w:rFonts w:ascii="Bookman Old Style" w:hAnsi="Bookman Old Style" w:cs="Arial"/>
          <w:sz w:val="28"/>
          <w:szCs w:val="28"/>
        </w:rPr>
      </w:pPr>
    </w:p>
    <w:p w14:paraId="00452EC6" w14:textId="48458878" w:rsidR="00CA2928" w:rsidRPr="007225E4" w:rsidRDefault="000F22A2" w:rsidP="00D910E5">
      <w:pPr>
        <w:pStyle w:val="Sinespaciado"/>
        <w:spacing w:line="360" w:lineRule="auto"/>
        <w:ind w:firstLine="709"/>
        <w:jc w:val="both"/>
        <w:rPr>
          <w:rFonts w:ascii="Bookman Old Style" w:hAnsi="Bookman Old Style" w:cs="Arial"/>
          <w:sz w:val="28"/>
          <w:szCs w:val="28"/>
        </w:rPr>
      </w:pPr>
      <w:r w:rsidRPr="007225E4">
        <w:rPr>
          <w:rFonts w:ascii="Bookman Old Style" w:hAnsi="Bookman Old Style" w:cs="Arial"/>
          <w:sz w:val="28"/>
          <w:szCs w:val="28"/>
        </w:rPr>
        <w:t>En ese orden de ideas, si la rentabilidad proyectada del fondo de protección que con los ocho pagos se generaba no resultaba ser la esperada, «</w:t>
      </w:r>
      <w:r w:rsidRPr="007225E4">
        <w:rPr>
          <w:rFonts w:ascii="Bookman Old Style" w:hAnsi="Bookman Old Style" w:cs="Arial"/>
          <w:i/>
          <w:iCs/>
          <w:sz w:val="24"/>
          <w:szCs w:val="24"/>
        </w:rPr>
        <w:t>con los valores de cesión se iba a cubrir el pago de la prima y, una vez agotados dichos valores, el contrato debía term</w:t>
      </w:r>
      <w:r w:rsidR="00BD5375" w:rsidRPr="007225E4">
        <w:rPr>
          <w:rFonts w:ascii="Bookman Old Style" w:hAnsi="Bookman Old Style" w:cs="Arial"/>
          <w:i/>
          <w:iCs/>
          <w:sz w:val="24"/>
          <w:szCs w:val="24"/>
        </w:rPr>
        <w:t>in</w:t>
      </w:r>
      <w:r w:rsidRPr="007225E4">
        <w:rPr>
          <w:rFonts w:ascii="Bookman Old Style" w:hAnsi="Bookman Old Style" w:cs="Arial"/>
          <w:i/>
          <w:iCs/>
          <w:sz w:val="24"/>
          <w:szCs w:val="24"/>
        </w:rPr>
        <w:t>ar</w:t>
      </w:r>
      <w:r w:rsidR="00BD5375" w:rsidRPr="007225E4">
        <w:rPr>
          <w:rFonts w:ascii="Bookman Old Style" w:hAnsi="Bookman Old Style" w:cs="Arial"/>
          <w:i/>
          <w:iCs/>
          <w:sz w:val="24"/>
          <w:szCs w:val="24"/>
        </w:rPr>
        <w:t xml:space="preserve"> </w:t>
      </w:r>
      <w:r w:rsidRPr="007225E4">
        <w:rPr>
          <w:rFonts w:ascii="Bookman Old Style" w:hAnsi="Bookman Old Style" w:cs="Arial"/>
          <w:i/>
          <w:iCs/>
          <w:sz w:val="24"/>
          <w:szCs w:val="24"/>
        </w:rPr>
        <w:t>pre</w:t>
      </w:r>
      <w:r w:rsidR="00BD5375" w:rsidRPr="007225E4">
        <w:rPr>
          <w:rFonts w:ascii="Bookman Old Style" w:hAnsi="Bookman Old Style" w:cs="Arial"/>
          <w:i/>
          <w:iCs/>
          <w:sz w:val="24"/>
          <w:szCs w:val="24"/>
        </w:rPr>
        <w:t>ci</w:t>
      </w:r>
      <w:r w:rsidRPr="007225E4">
        <w:rPr>
          <w:rFonts w:ascii="Bookman Old Style" w:hAnsi="Bookman Old Style" w:cs="Arial"/>
          <w:i/>
          <w:iCs/>
          <w:sz w:val="24"/>
          <w:szCs w:val="24"/>
        </w:rPr>
        <w:t>samente por ausencia del pago de la prima</w:t>
      </w:r>
      <w:r w:rsidRPr="007225E4">
        <w:rPr>
          <w:rFonts w:ascii="Bookman Old Style" w:hAnsi="Bookman Old Style" w:cs="Arial"/>
          <w:sz w:val="28"/>
          <w:szCs w:val="28"/>
        </w:rPr>
        <w:t>».</w:t>
      </w:r>
      <w:r w:rsidR="00BD5375" w:rsidRPr="007225E4">
        <w:rPr>
          <w:rFonts w:ascii="Bookman Old Style" w:hAnsi="Bookman Old Style" w:cs="Arial"/>
          <w:sz w:val="28"/>
          <w:szCs w:val="28"/>
        </w:rPr>
        <w:t xml:space="preserve"> Adujo que el Colegiado únicamente apreció, de manera aislada e insular, el contenido de la cláusula 2.4, sin valorarla juntamente con la 6.2, «</w:t>
      </w:r>
      <w:r w:rsidR="00BD5375" w:rsidRPr="007225E4">
        <w:rPr>
          <w:rFonts w:ascii="Bookman Old Style" w:hAnsi="Bookman Old Style" w:cs="Arial"/>
          <w:i/>
          <w:iCs/>
          <w:sz w:val="24"/>
          <w:szCs w:val="24"/>
        </w:rPr>
        <w:t xml:space="preserve">lo cual le habría permitido llegar a la única </w:t>
      </w:r>
      <w:r w:rsidR="00BD5375" w:rsidRPr="007225E4">
        <w:rPr>
          <w:rFonts w:ascii="Bookman Old Style" w:hAnsi="Bookman Old Style" w:cs="Arial"/>
          <w:i/>
          <w:iCs/>
          <w:sz w:val="24"/>
          <w:szCs w:val="24"/>
        </w:rPr>
        <w:lastRenderedPageBreak/>
        <w:t>conclusión posible si la rentabilidad proyectada no se presentaba, el contrato iba a terminar cuando los valores de cesión no fuesen suficientes para cubrir el monto de la prima, pues bien sabido es que sin el pago de la prima no es posible que el contrato de seguro subsista</w:t>
      </w:r>
      <w:r w:rsidR="00BD5375" w:rsidRPr="007225E4">
        <w:rPr>
          <w:rFonts w:ascii="Bookman Old Style" w:hAnsi="Bookman Old Style" w:cs="Arial"/>
          <w:sz w:val="28"/>
          <w:szCs w:val="28"/>
        </w:rPr>
        <w:t>».</w:t>
      </w:r>
    </w:p>
    <w:p w14:paraId="2E913D49" w14:textId="77777777" w:rsidR="00461708" w:rsidRPr="007225E4" w:rsidRDefault="00461708" w:rsidP="00D910E5">
      <w:pPr>
        <w:pStyle w:val="Sinespaciado"/>
        <w:spacing w:line="360" w:lineRule="auto"/>
        <w:ind w:firstLine="709"/>
        <w:jc w:val="both"/>
        <w:rPr>
          <w:rFonts w:ascii="Bookman Old Style" w:hAnsi="Bookman Old Style" w:cs="Arial"/>
          <w:sz w:val="28"/>
          <w:szCs w:val="28"/>
        </w:rPr>
      </w:pPr>
    </w:p>
    <w:p w14:paraId="44472939" w14:textId="5B84A295" w:rsidR="003D0BC9" w:rsidRPr="007225E4" w:rsidRDefault="003D0BC9" w:rsidP="00F92684">
      <w:pPr>
        <w:pStyle w:val="Sinespaciado"/>
        <w:spacing w:line="360" w:lineRule="auto"/>
        <w:ind w:firstLine="709"/>
        <w:jc w:val="both"/>
        <w:rPr>
          <w:rFonts w:ascii="Bookman Old Style" w:hAnsi="Bookman Old Style" w:cs="Arial"/>
          <w:sz w:val="28"/>
          <w:szCs w:val="28"/>
        </w:rPr>
      </w:pPr>
      <w:r w:rsidRPr="007225E4">
        <w:rPr>
          <w:rFonts w:ascii="Bookman Old Style" w:hAnsi="Bookman Old Style" w:cs="Arial"/>
          <w:sz w:val="28"/>
          <w:szCs w:val="28"/>
        </w:rPr>
        <w:t xml:space="preserve">Por otro lado, censuró el error de hecho </w:t>
      </w:r>
      <w:r w:rsidR="00461708" w:rsidRPr="00AC62C1">
        <w:rPr>
          <w:rFonts w:ascii="Bookman Old Style" w:hAnsi="Bookman Old Style" w:cs="Arial"/>
          <w:sz w:val="28"/>
          <w:szCs w:val="28"/>
        </w:rPr>
        <w:t>en que incurrió</w:t>
      </w:r>
      <w:r w:rsidRPr="00AC62C1">
        <w:rPr>
          <w:rFonts w:ascii="Bookman Old Style" w:hAnsi="Bookman Old Style" w:cs="Arial"/>
          <w:sz w:val="28"/>
          <w:szCs w:val="28"/>
        </w:rPr>
        <w:t xml:space="preserve"> </w:t>
      </w:r>
      <w:r w:rsidRPr="007225E4">
        <w:rPr>
          <w:rFonts w:ascii="Bookman Old Style" w:hAnsi="Bookman Old Style" w:cs="Arial"/>
          <w:sz w:val="28"/>
          <w:szCs w:val="28"/>
        </w:rPr>
        <w:t xml:space="preserve">el </w:t>
      </w:r>
      <w:r w:rsidRPr="007225E4">
        <w:rPr>
          <w:rFonts w:ascii="Bookman Old Style" w:hAnsi="Bookman Old Style" w:cs="Arial"/>
          <w:i/>
          <w:iCs/>
          <w:sz w:val="28"/>
          <w:szCs w:val="28"/>
        </w:rPr>
        <w:t>ad quem</w:t>
      </w:r>
      <w:r w:rsidRPr="007225E4">
        <w:rPr>
          <w:rFonts w:ascii="Bookman Old Style" w:hAnsi="Bookman Old Style" w:cs="Arial"/>
          <w:sz w:val="28"/>
          <w:szCs w:val="28"/>
        </w:rPr>
        <w:t xml:space="preserve"> por el cercenamiento en la apreciación de la cotización de la póliza. </w:t>
      </w:r>
      <w:r w:rsidR="00CF0533" w:rsidRPr="007225E4">
        <w:rPr>
          <w:rFonts w:ascii="Bookman Old Style" w:hAnsi="Bookman Old Style" w:cs="Arial"/>
          <w:sz w:val="28"/>
          <w:szCs w:val="28"/>
        </w:rPr>
        <w:t>A su juicio, en tal documento «</w:t>
      </w:r>
      <w:r w:rsidR="00CF0533" w:rsidRPr="007225E4">
        <w:rPr>
          <w:rFonts w:ascii="Bookman Old Style" w:hAnsi="Bookman Old Style" w:cs="Arial"/>
          <w:i/>
          <w:iCs/>
          <w:sz w:val="24"/>
          <w:szCs w:val="24"/>
        </w:rPr>
        <w:t>aparece con claridad que el seguro estaba proyectado para que su vigencia se extendiera hasta que el asegurado cumpliera ochenta (80) años de edad, pero también aparece con claridad que ello ocurriría siempre y cuando la efectiva rentabilidad que tuviera el fondo de protección generado a partir del pago de la prima fuese del 24%</w:t>
      </w:r>
      <w:r w:rsidR="00CF0533" w:rsidRPr="007225E4">
        <w:rPr>
          <w:rFonts w:ascii="Bookman Old Style" w:hAnsi="Bookman Old Style" w:cs="Arial"/>
          <w:sz w:val="28"/>
          <w:szCs w:val="28"/>
        </w:rPr>
        <w:t xml:space="preserve">». Así las cosas, desde la cotización se le advirtió que el contrato estaba sometido a una condición en relación con la rentabilidad del ahorro. </w:t>
      </w:r>
      <w:r w:rsidR="00654BDF" w:rsidRPr="007225E4">
        <w:rPr>
          <w:rFonts w:ascii="Bookman Old Style" w:hAnsi="Bookman Old Style" w:cs="Arial"/>
          <w:sz w:val="28"/>
          <w:szCs w:val="28"/>
        </w:rPr>
        <w:t>Pese a la contundencia del documento, el juez de segundo grado desfiguró su alcance demostrativo. Contrario a lo sostenido en la sentencia de segunda instancia, el documento «</w:t>
      </w:r>
      <w:r w:rsidR="00654BDF" w:rsidRPr="007225E4">
        <w:rPr>
          <w:rFonts w:ascii="Bookman Old Style" w:hAnsi="Bookman Old Style" w:cs="Arial"/>
          <w:i/>
          <w:iCs/>
          <w:sz w:val="24"/>
          <w:szCs w:val="24"/>
        </w:rPr>
        <w:t>es claro en indicar que lo allí expresado corresponde a una proyección realizada bajo el entendimiento que el fondo de protección conformado con el pago de las ocho (8) primas en comento iba a tener una rentabilidad del 24%, por lo que fácil es concluir que si dicha rentabilidad no se presentaba la proyección sería diferente y, por ende, no iba a ser posible el crecimiento de los valores acumulados hasta el momento en que el asegurado cumpliera ochenta (80) años</w:t>
      </w:r>
      <w:r w:rsidR="00654BDF" w:rsidRPr="007225E4">
        <w:rPr>
          <w:rFonts w:ascii="Bookman Old Style" w:hAnsi="Bookman Old Style" w:cs="Arial"/>
          <w:sz w:val="28"/>
          <w:szCs w:val="28"/>
        </w:rPr>
        <w:t>».</w:t>
      </w:r>
    </w:p>
    <w:p w14:paraId="63C169F0" w14:textId="0E0A1427" w:rsidR="00654BDF" w:rsidRPr="007225E4" w:rsidRDefault="00654BDF" w:rsidP="00F92684">
      <w:pPr>
        <w:pStyle w:val="Sinespaciado"/>
        <w:spacing w:line="360" w:lineRule="auto"/>
        <w:ind w:firstLine="709"/>
        <w:jc w:val="both"/>
        <w:rPr>
          <w:rFonts w:ascii="Bookman Old Style" w:hAnsi="Bookman Old Style" w:cs="Arial"/>
          <w:sz w:val="28"/>
          <w:szCs w:val="28"/>
        </w:rPr>
      </w:pPr>
    </w:p>
    <w:p w14:paraId="33B3C83A" w14:textId="14F69EB3" w:rsidR="00654BDF" w:rsidRPr="007225E4" w:rsidRDefault="00F86F1A" w:rsidP="00F92684">
      <w:pPr>
        <w:pStyle w:val="Sinespaciado"/>
        <w:spacing w:line="360" w:lineRule="auto"/>
        <w:ind w:firstLine="709"/>
        <w:jc w:val="both"/>
        <w:rPr>
          <w:rFonts w:ascii="Bookman Old Style" w:hAnsi="Bookman Old Style" w:cs="Arial"/>
          <w:sz w:val="28"/>
          <w:szCs w:val="28"/>
        </w:rPr>
      </w:pPr>
      <w:r w:rsidRPr="007225E4">
        <w:rPr>
          <w:rFonts w:ascii="Bookman Old Style" w:hAnsi="Bookman Old Style" w:cs="Arial"/>
          <w:sz w:val="28"/>
          <w:szCs w:val="28"/>
        </w:rPr>
        <w:t>Indicó que se pretermitió el documento elaborado por Luis Fernando Cortázar Olarte, así como la declaración que rindió en el curso del pleito. En dicho medio de prueba «</w:t>
      </w:r>
      <w:r w:rsidRPr="007225E4">
        <w:rPr>
          <w:rFonts w:ascii="Bookman Old Style" w:hAnsi="Bookman Old Style" w:cs="Arial"/>
          <w:i/>
          <w:iCs/>
          <w:sz w:val="24"/>
          <w:szCs w:val="24"/>
        </w:rPr>
        <w:t xml:space="preserve">consta el verdadero y real comportamiento que tuvo la rentabilidad del fondo de protección que se constituyó con el pago anticipado de la prima por parte del demandante y allí explicó con suficiencia que efectivamente la </w:t>
      </w:r>
      <w:r w:rsidRPr="007225E4">
        <w:rPr>
          <w:rFonts w:ascii="Bookman Old Style" w:hAnsi="Bookman Old Style" w:cs="Arial"/>
          <w:i/>
          <w:iCs/>
          <w:sz w:val="24"/>
          <w:szCs w:val="24"/>
        </w:rPr>
        <w:lastRenderedPageBreak/>
        <w:t>reserva se agotó en marzo de 2015 en razón de la baja rentabilidad que en la realidad se presentó</w:t>
      </w:r>
      <w:r w:rsidRPr="007225E4">
        <w:rPr>
          <w:rFonts w:ascii="Bookman Old Style" w:hAnsi="Bookman Old Style" w:cs="Arial"/>
          <w:i/>
          <w:iCs/>
          <w:sz w:val="28"/>
          <w:szCs w:val="28"/>
        </w:rPr>
        <w:t>».</w:t>
      </w:r>
      <w:r w:rsidRPr="007225E4">
        <w:rPr>
          <w:rFonts w:ascii="Bookman Old Style" w:hAnsi="Bookman Old Style" w:cs="Arial"/>
          <w:sz w:val="28"/>
          <w:szCs w:val="28"/>
        </w:rPr>
        <w:t xml:space="preserve"> Tales probanzas demuestran cómo, luego de haber celebrado el negocio aseguraticio, las condiciones de la economía variaron drásticamente, presentándose una notable reducción de los índices de inflación con la consecuencial reducción de las tasas de interés en el mercado. </w:t>
      </w:r>
      <w:r w:rsidR="000F2D41" w:rsidRPr="007225E4">
        <w:rPr>
          <w:rFonts w:ascii="Bookman Old Style" w:hAnsi="Bookman Old Style" w:cs="Arial"/>
          <w:sz w:val="28"/>
          <w:szCs w:val="28"/>
        </w:rPr>
        <w:t xml:space="preserve">Dichas </w:t>
      </w:r>
      <w:r w:rsidRPr="007225E4">
        <w:rPr>
          <w:rFonts w:ascii="Bookman Old Style" w:hAnsi="Bookman Old Style" w:cs="Arial"/>
          <w:sz w:val="28"/>
          <w:szCs w:val="28"/>
        </w:rPr>
        <w:t xml:space="preserve">circunstancias condujeron a </w:t>
      </w:r>
      <w:r w:rsidR="00A51ACC" w:rsidRPr="007225E4">
        <w:rPr>
          <w:rFonts w:ascii="Bookman Old Style" w:hAnsi="Bookman Old Style" w:cs="Arial"/>
          <w:sz w:val="28"/>
          <w:szCs w:val="28"/>
        </w:rPr>
        <w:t xml:space="preserve">que se presentase una baja rentabilidad del fondo de protección que se construyó a partir del pago anticipado de las primas. </w:t>
      </w:r>
    </w:p>
    <w:p w14:paraId="5C703B8F" w14:textId="58A9B583" w:rsidR="00A51ACC" w:rsidRPr="007225E4" w:rsidRDefault="00A51ACC" w:rsidP="00F92684">
      <w:pPr>
        <w:pStyle w:val="Sinespaciado"/>
        <w:spacing w:line="360" w:lineRule="auto"/>
        <w:ind w:firstLine="709"/>
        <w:jc w:val="both"/>
        <w:rPr>
          <w:rFonts w:ascii="Bookman Old Style" w:hAnsi="Bookman Old Style" w:cs="Arial"/>
          <w:sz w:val="28"/>
          <w:szCs w:val="28"/>
        </w:rPr>
      </w:pPr>
    </w:p>
    <w:p w14:paraId="335721AF" w14:textId="743443BF" w:rsidR="001E0C85" w:rsidRPr="007225E4" w:rsidRDefault="00A51ACC" w:rsidP="00F92684">
      <w:pPr>
        <w:pStyle w:val="Sinespaciado"/>
        <w:spacing w:line="360" w:lineRule="auto"/>
        <w:ind w:firstLine="709"/>
        <w:jc w:val="both"/>
        <w:rPr>
          <w:rFonts w:ascii="Bookman Old Style" w:hAnsi="Bookman Old Style" w:cs="Arial"/>
          <w:sz w:val="28"/>
          <w:szCs w:val="28"/>
        </w:rPr>
      </w:pPr>
      <w:r w:rsidRPr="007225E4">
        <w:rPr>
          <w:rFonts w:ascii="Bookman Old Style" w:hAnsi="Bookman Old Style" w:cs="Arial"/>
          <w:sz w:val="28"/>
          <w:szCs w:val="28"/>
        </w:rPr>
        <w:t xml:space="preserve">Así mismo, </w:t>
      </w:r>
      <w:r w:rsidR="0019013E" w:rsidRPr="007225E4">
        <w:rPr>
          <w:rFonts w:ascii="Bookman Old Style" w:hAnsi="Bookman Old Style" w:cs="Arial"/>
          <w:sz w:val="28"/>
          <w:szCs w:val="28"/>
        </w:rPr>
        <w:t>criticó la pretermisión</w:t>
      </w:r>
      <w:r w:rsidR="00A30701" w:rsidRPr="007225E4">
        <w:rPr>
          <w:rFonts w:ascii="Bookman Old Style" w:hAnsi="Bookman Old Style" w:cs="Arial"/>
          <w:sz w:val="28"/>
          <w:szCs w:val="28"/>
        </w:rPr>
        <w:t xml:space="preserve"> de las comunicaciones remitidas al asegurado el 17 de noviembre de 2016, 25 de abril de 2011, 1 de julio de 2015 y 25 de agosto de 2015. Tales documentos «</w:t>
      </w:r>
      <w:r w:rsidR="00A30701" w:rsidRPr="007225E4">
        <w:rPr>
          <w:rFonts w:ascii="Bookman Old Style" w:hAnsi="Bookman Old Style" w:cs="Arial"/>
          <w:i/>
          <w:iCs/>
          <w:sz w:val="24"/>
          <w:szCs w:val="24"/>
        </w:rPr>
        <w:t xml:space="preserve">descartan que la Compañía </w:t>
      </w:r>
      <w:r w:rsidR="00916DFC" w:rsidRPr="007225E4">
        <w:rPr>
          <w:rFonts w:ascii="Bookman Old Style" w:hAnsi="Bookman Old Style" w:cs="Arial"/>
          <w:i/>
          <w:iCs/>
          <w:sz w:val="24"/>
          <w:szCs w:val="24"/>
        </w:rPr>
        <w:t>d</w:t>
      </w:r>
      <w:r w:rsidR="00A30701" w:rsidRPr="007225E4">
        <w:rPr>
          <w:rFonts w:ascii="Bookman Old Style" w:hAnsi="Bookman Old Style" w:cs="Arial"/>
          <w:i/>
          <w:iCs/>
          <w:sz w:val="24"/>
          <w:szCs w:val="24"/>
        </w:rPr>
        <w:t>e Seguros hubiese revocado unilateralmente la Póliza y demuestran que, como evidencia de probidad y de buena fe, se le avisó al Asegurado, incluso con suficiente antelación, que con ocasión del agotamiento de dichos valores la prima no iba a ser pagada y ello implicaba la terminación automática del Contrato, lo cual, se insiste, descarta la revocación unilateral que el Tribunal dio por demostrada en contra evidencia con la realidad del proceso</w:t>
      </w:r>
      <w:r w:rsidR="00A30701" w:rsidRPr="007225E4">
        <w:rPr>
          <w:rFonts w:ascii="Bookman Old Style" w:hAnsi="Bookman Old Style" w:cs="Arial"/>
          <w:sz w:val="28"/>
          <w:szCs w:val="28"/>
        </w:rPr>
        <w:t>».</w:t>
      </w:r>
    </w:p>
    <w:p w14:paraId="558B6AE9" w14:textId="00BB9443" w:rsidR="00747D8A" w:rsidRPr="007225E4" w:rsidRDefault="00747D8A" w:rsidP="009948DA">
      <w:pPr>
        <w:pStyle w:val="Sinespaciado"/>
        <w:spacing w:line="360" w:lineRule="auto"/>
        <w:jc w:val="both"/>
        <w:rPr>
          <w:rFonts w:ascii="Bookman Old Style" w:hAnsi="Bookman Old Style" w:cs="Arial"/>
          <w:sz w:val="28"/>
          <w:szCs w:val="28"/>
        </w:rPr>
      </w:pPr>
    </w:p>
    <w:p w14:paraId="373374C7" w14:textId="019ACABE" w:rsidR="00747D8A" w:rsidRPr="007225E4" w:rsidRDefault="00747D8A" w:rsidP="009948DA">
      <w:pPr>
        <w:pStyle w:val="Sinespaciado"/>
        <w:spacing w:line="360" w:lineRule="auto"/>
        <w:jc w:val="center"/>
        <w:rPr>
          <w:rFonts w:ascii="Bookman Old Style" w:hAnsi="Bookman Old Style" w:cs="Arial"/>
          <w:b/>
          <w:bCs/>
          <w:sz w:val="28"/>
          <w:szCs w:val="28"/>
        </w:rPr>
      </w:pPr>
      <w:r w:rsidRPr="007225E4">
        <w:rPr>
          <w:rFonts w:ascii="Bookman Old Style" w:hAnsi="Bookman Old Style" w:cs="Arial"/>
          <w:b/>
          <w:bCs/>
          <w:sz w:val="28"/>
          <w:szCs w:val="28"/>
        </w:rPr>
        <w:t>CONSIDERACIONES</w:t>
      </w:r>
    </w:p>
    <w:p w14:paraId="712531B0" w14:textId="77777777" w:rsidR="00F93BAA" w:rsidRPr="007225E4" w:rsidRDefault="00F93BAA" w:rsidP="00F92684">
      <w:pPr>
        <w:tabs>
          <w:tab w:val="left" w:pos="1418"/>
        </w:tabs>
        <w:spacing w:after="0"/>
        <w:rPr>
          <w:rFonts w:ascii="Bookman Old Style" w:hAnsi="Bookman Old Style"/>
          <w:sz w:val="28"/>
          <w:szCs w:val="28"/>
        </w:rPr>
      </w:pPr>
    </w:p>
    <w:p w14:paraId="1AE0EEDC" w14:textId="304E2AE7" w:rsidR="006747AE" w:rsidRPr="007225E4" w:rsidRDefault="00F93BAA" w:rsidP="00F92684">
      <w:pPr>
        <w:tabs>
          <w:tab w:val="left" w:pos="1418"/>
        </w:tabs>
        <w:spacing w:after="0" w:line="360" w:lineRule="auto"/>
        <w:ind w:firstLine="709"/>
        <w:jc w:val="both"/>
        <w:rPr>
          <w:rFonts w:ascii="Bookman Old Style" w:hAnsi="Bookman Old Style"/>
          <w:sz w:val="28"/>
          <w:szCs w:val="28"/>
        </w:rPr>
      </w:pPr>
      <w:r w:rsidRPr="007225E4">
        <w:rPr>
          <w:rFonts w:ascii="Bookman Old Style" w:hAnsi="Bookman Old Style"/>
          <w:sz w:val="28"/>
          <w:szCs w:val="28"/>
        </w:rPr>
        <w:t>1.</w:t>
      </w:r>
      <w:r w:rsidR="006747AE" w:rsidRPr="007225E4">
        <w:rPr>
          <w:rFonts w:ascii="Bookman Old Style" w:hAnsi="Bookman Old Style"/>
          <w:szCs w:val="28"/>
        </w:rPr>
        <w:t xml:space="preserve"> </w:t>
      </w:r>
      <w:r w:rsidR="006747AE" w:rsidRPr="007225E4">
        <w:rPr>
          <w:rFonts w:ascii="Bookman Old Style" w:hAnsi="Bookman Old Style"/>
          <w:sz w:val="28"/>
          <w:szCs w:val="28"/>
        </w:rPr>
        <w:t>En atención a que el casacionista se propone demostrar que el Tribunal incurrió en una apreciación defectuosa de ciertas pruebas recaudadas en el proceso – contrato de seguro</w:t>
      </w:r>
      <w:r w:rsidR="00E21AFB" w:rsidRPr="007225E4">
        <w:rPr>
          <w:rFonts w:ascii="Bookman Old Style" w:hAnsi="Bookman Old Style"/>
          <w:sz w:val="28"/>
          <w:szCs w:val="28"/>
        </w:rPr>
        <w:t xml:space="preserve"> y su cotización,</w:t>
      </w:r>
      <w:r w:rsidR="006747AE" w:rsidRPr="007225E4">
        <w:rPr>
          <w:rFonts w:ascii="Bookman Old Style" w:hAnsi="Bookman Old Style"/>
          <w:sz w:val="28"/>
          <w:szCs w:val="28"/>
        </w:rPr>
        <w:t xml:space="preserve">  informe del actuario y su testimonio, comunicación de la aseguradora del 17 de noviembre de 2016, 25 de abril de 2011, julio de 2015 y 25 </w:t>
      </w:r>
      <w:r w:rsidR="006747AE" w:rsidRPr="007225E4">
        <w:rPr>
          <w:rFonts w:ascii="Bookman Old Style" w:hAnsi="Bookman Old Style"/>
          <w:sz w:val="28"/>
          <w:szCs w:val="28"/>
        </w:rPr>
        <w:lastRenderedPageBreak/>
        <w:t>de agosto de 2015-, y por esa vía, le endilga la violación de normas sustanciales,</w:t>
      </w:r>
      <w:r w:rsidR="00143800">
        <w:rPr>
          <w:rFonts w:ascii="Bookman Old Style" w:hAnsi="Bookman Old Style"/>
          <w:sz w:val="28"/>
          <w:szCs w:val="28"/>
        </w:rPr>
        <w:t xml:space="preserve"> se</w:t>
      </w:r>
      <w:r w:rsidR="006747AE" w:rsidRPr="007225E4">
        <w:rPr>
          <w:rFonts w:ascii="Bookman Old Style" w:hAnsi="Bookman Old Style"/>
          <w:sz w:val="28"/>
          <w:szCs w:val="28"/>
        </w:rPr>
        <w:t xml:space="preserve"> destaca que la tarea del impugnante debe estar dirigida a demostrar, si de error de hecho se trata, que el yerro que le enrostra al juzgador es notorio o evidente. En otras palabras, que hay una clara contrariedad entre la conclusión del Tribunal y lo que la prueba </w:t>
      </w:r>
      <w:r w:rsidR="006747AE" w:rsidRPr="007225E4">
        <w:rPr>
          <w:rFonts w:ascii="Bookman Old Style" w:hAnsi="Bookman Old Style"/>
          <w:color w:val="000000" w:themeColor="text1"/>
          <w:sz w:val="28"/>
          <w:szCs w:val="28"/>
        </w:rPr>
        <w:t>revela</w:t>
      </w:r>
      <w:r w:rsidR="006747AE" w:rsidRPr="007225E4">
        <w:rPr>
          <w:rFonts w:ascii="Bookman Old Style" w:hAnsi="Bookman Old Style"/>
          <w:sz w:val="28"/>
          <w:szCs w:val="28"/>
        </w:rPr>
        <w:t xml:space="preserve">. </w:t>
      </w:r>
    </w:p>
    <w:p w14:paraId="07D55640" w14:textId="77777777" w:rsidR="008E44E3" w:rsidRPr="007225E4" w:rsidRDefault="008E44E3" w:rsidP="00F92684">
      <w:pPr>
        <w:tabs>
          <w:tab w:val="left" w:pos="1418"/>
        </w:tabs>
        <w:spacing w:after="0" w:line="360" w:lineRule="auto"/>
        <w:ind w:firstLine="709"/>
        <w:jc w:val="both"/>
        <w:rPr>
          <w:rFonts w:ascii="Bookman Old Style" w:hAnsi="Bookman Old Style"/>
          <w:sz w:val="28"/>
          <w:szCs w:val="28"/>
        </w:rPr>
      </w:pPr>
    </w:p>
    <w:p w14:paraId="152F4A6F" w14:textId="2E38A4F4" w:rsidR="006747AE" w:rsidRPr="00264569" w:rsidRDefault="006747AE" w:rsidP="00264569">
      <w:pPr>
        <w:tabs>
          <w:tab w:val="left" w:pos="1418"/>
        </w:tabs>
        <w:spacing w:after="0" w:line="360" w:lineRule="auto"/>
        <w:ind w:firstLine="709"/>
        <w:jc w:val="both"/>
        <w:rPr>
          <w:rFonts w:ascii="Bookman Old Style" w:hAnsi="Bookman Old Style"/>
          <w:sz w:val="28"/>
          <w:szCs w:val="28"/>
        </w:rPr>
      </w:pPr>
      <w:r w:rsidRPr="007225E4">
        <w:rPr>
          <w:rFonts w:ascii="Bookman Old Style" w:hAnsi="Bookman Old Style"/>
          <w:sz w:val="28"/>
          <w:szCs w:val="28"/>
        </w:rPr>
        <w:t xml:space="preserve">Así las cosas, es preciso destacar que, en el ámbito de la prueba y para los propósitos casacionales, debe refulgir la abierta e irreconciliable afirmación extraída por el Tribunal frente a la verdad indiscutible que esos medios muestran. Esa antítesis de protuberante envergadura, expresamente prevista para el error de hecho cuando exige que éste sea </w:t>
      </w:r>
      <w:r w:rsidR="00D910E5" w:rsidRPr="007225E4">
        <w:rPr>
          <w:rFonts w:ascii="Bookman Old Style" w:hAnsi="Bookman Old Style"/>
          <w:i/>
          <w:iCs/>
          <w:sz w:val="24"/>
          <w:szCs w:val="24"/>
          <w:lang w:val="es-MX"/>
        </w:rPr>
        <w:t>«</w:t>
      </w:r>
      <w:r w:rsidRPr="007225E4">
        <w:rPr>
          <w:rFonts w:ascii="Bookman Old Style" w:hAnsi="Bookman Old Style"/>
          <w:i/>
          <w:iCs/>
          <w:sz w:val="24"/>
          <w:szCs w:val="24"/>
        </w:rPr>
        <w:t>manifiesto</w:t>
      </w:r>
      <w:r w:rsidR="00D910E5" w:rsidRPr="007225E4">
        <w:rPr>
          <w:rFonts w:ascii="Bookman Old Style" w:hAnsi="Bookman Old Style"/>
          <w:iCs/>
          <w:sz w:val="24"/>
          <w:szCs w:val="24"/>
          <w:lang w:val="es-ES"/>
        </w:rPr>
        <w:t>»</w:t>
      </w:r>
      <w:r w:rsidRPr="007225E4">
        <w:rPr>
          <w:rFonts w:ascii="Bookman Old Style" w:hAnsi="Bookman Old Style"/>
          <w:sz w:val="24"/>
          <w:szCs w:val="24"/>
        </w:rPr>
        <w:t>,</w:t>
      </w:r>
      <w:r w:rsidRPr="007225E4">
        <w:rPr>
          <w:rFonts w:ascii="Bookman Old Style" w:hAnsi="Bookman Old Style"/>
          <w:sz w:val="28"/>
          <w:szCs w:val="28"/>
        </w:rPr>
        <w:t xml:space="preserve"> excluye que los supuestos errores tengan que ser demostrados a partir de una esforzada argumentación. </w:t>
      </w:r>
      <w:r w:rsidRPr="007225E4">
        <w:rPr>
          <w:rFonts w:ascii="Bookman Old Style" w:hAnsi="Bookman Old Style"/>
          <w:sz w:val="28"/>
          <w:szCs w:val="28"/>
          <w:lang w:val="es-MX"/>
        </w:rPr>
        <w:t xml:space="preserve">Así lo ha expresado esta Corporación, que de manera inveterada ha sostenido que </w:t>
      </w:r>
      <w:r w:rsidRPr="007225E4">
        <w:rPr>
          <w:rFonts w:ascii="Bookman Old Style" w:hAnsi="Bookman Old Style"/>
          <w:i/>
          <w:iCs/>
          <w:sz w:val="24"/>
          <w:szCs w:val="24"/>
          <w:lang w:val="es-MX"/>
        </w:rPr>
        <w:t>«</w:t>
      </w:r>
      <w:r w:rsidR="00E21AFB" w:rsidRPr="007225E4">
        <w:rPr>
          <w:rFonts w:ascii="Bookman Old Style" w:hAnsi="Bookman Old Style"/>
          <w:i/>
          <w:iCs/>
          <w:sz w:val="24"/>
          <w:szCs w:val="24"/>
          <w:lang w:val="es-MX"/>
        </w:rPr>
        <w:t>[n]</w:t>
      </w:r>
      <w:r w:rsidRPr="007225E4">
        <w:rPr>
          <w:rFonts w:ascii="Bookman Old Style" w:hAnsi="Bookman Old Style"/>
          <w:i/>
          <w:iCs/>
          <w:sz w:val="24"/>
          <w:szCs w:val="24"/>
          <w:lang w:val="es-MX"/>
        </w:rPr>
        <w:t xml:space="preserve">o sobra rememorar que cuando se aducen yerros de facto en la    apreciación de los medios de convicción, el recurrente tiene la carga una vez individualizado el medio en que recae el error, de indicarlo </w:t>
      </w:r>
      <w:r w:rsidRPr="007225E4">
        <w:rPr>
          <w:rFonts w:ascii="Bookman Old Style" w:hAnsi="Bookman Old Style"/>
          <w:b/>
          <w:bCs/>
          <w:i/>
          <w:iCs/>
          <w:sz w:val="24"/>
          <w:szCs w:val="24"/>
          <w:lang w:val="es-MX"/>
        </w:rPr>
        <w:t>y demostrarlo señalando cómo se generó la suposición o preterición o cercenamiento</w:t>
      </w:r>
      <w:r w:rsidRPr="007225E4">
        <w:rPr>
          <w:rFonts w:ascii="Bookman Old Style" w:hAnsi="Bookman Old Style"/>
          <w:i/>
          <w:iCs/>
          <w:sz w:val="24"/>
          <w:szCs w:val="24"/>
          <w:lang w:val="es-MX"/>
        </w:rPr>
        <w:t xml:space="preserve">, </w:t>
      </w:r>
      <w:r w:rsidRPr="007225E4">
        <w:rPr>
          <w:rFonts w:ascii="Bookman Old Style" w:hAnsi="Bookman Old Style"/>
          <w:b/>
          <w:bCs/>
          <w:i/>
          <w:iCs/>
          <w:sz w:val="24"/>
          <w:szCs w:val="24"/>
          <w:lang w:val="es-MX"/>
        </w:rPr>
        <w:t>sin perder de vista que debe aparecer de manera manifiesta en los autos (…)</w:t>
      </w:r>
      <w:r w:rsidRPr="007225E4">
        <w:rPr>
          <w:rFonts w:ascii="Bookman Old Style" w:hAnsi="Bookman Old Style"/>
          <w:b/>
          <w:bCs/>
          <w:i/>
          <w:iCs/>
          <w:sz w:val="28"/>
          <w:szCs w:val="28"/>
          <w:lang w:val="es-MX"/>
        </w:rPr>
        <w:t>»</w:t>
      </w:r>
      <w:r w:rsidRPr="007225E4">
        <w:rPr>
          <w:rStyle w:val="Refdenotaalpie"/>
          <w:rFonts w:ascii="Bookman Old Style" w:hAnsi="Bookman Old Style"/>
          <w:b/>
          <w:bCs/>
          <w:i/>
          <w:iCs/>
          <w:sz w:val="28"/>
          <w:szCs w:val="28"/>
          <w:lang w:val="es-MX"/>
        </w:rPr>
        <w:footnoteReference w:id="26"/>
      </w:r>
      <w:r w:rsidRPr="007225E4">
        <w:rPr>
          <w:rFonts w:ascii="Bookman Old Style" w:hAnsi="Bookman Old Style"/>
          <w:b/>
          <w:bCs/>
          <w:i/>
          <w:iCs/>
          <w:sz w:val="28"/>
          <w:szCs w:val="28"/>
          <w:lang w:val="es-MX"/>
        </w:rPr>
        <w:t>.</w:t>
      </w:r>
      <w:r w:rsidR="00E21AFB" w:rsidRPr="007225E4">
        <w:rPr>
          <w:rFonts w:ascii="Bookman Old Style" w:hAnsi="Bookman Old Style"/>
          <w:sz w:val="28"/>
          <w:szCs w:val="28"/>
          <w:lang w:val="es-MX"/>
        </w:rPr>
        <w:t xml:space="preserve"> Esto, se insiste, sin olvidar que </w:t>
      </w:r>
      <w:r w:rsidR="00E21AFB" w:rsidRPr="007225E4">
        <w:rPr>
          <w:rFonts w:ascii="Bookman Old Style" w:hAnsi="Bookman Old Style"/>
          <w:iCs/>
          <w:sz w:val="28"/>
          <w:szCs w:val="28"/>
          <w:lang w:val="es-ES"/>
        </w:rPr>
        <w:t>«</w:t>
      </w:r>
      <w:r w:rsidR="00E21AFB" w:rsidRPr="007225E4">
        <w:rPr>
          <w:rFonts w:ascii="Bookman Old Style" w:hAnsi="Bookman Old Style"/>
          <w:i/>
          <w:sz w:val="24"/>
          <w:szCs w:val="24"/>
          <w:lang w:val="es-ES_tradnl"/>
        </w:rPr>
        <w:t xml:space="preserve">el recurrente debe procurar por evidenciar que su óptica es la </w:t>
      </w:r>
      <w:r w:rsidR="00E21AFB" w:rsidRPr="007225E4">
        <w:rPr>
          <w:rFonts w:ascii="Bookman Old Style" w:hAnsi="Bookman Old Style"/>
          <w:i/>
          <w:sz w:val="24"/>
          <w:szCs w:val="24"/>
          <w:u w:val="single"/>
          <w:lang w:val="es-ES_tradnl"/>
        </w:rPr>
        <w:t>única</w:t>
      </w:r>
      <w:r w:rsidR="00E21AFB" w:rsidRPr="007225E4">
        <w:rPr>
          <w:rFonts w:ascii="Bookman Old Style" w:hAnsi="Bookman Old Style"/>
          <w:i/>
          <w:sz w:val="24"/>
          <w:szCs w:val="24"/>
          <w:lang w:val="es-ES_tradnl"/>
        </w:rPr>
        <w:t xml:space="preserve"> plausible y apta, con el fin de allanar el camino hacia el éxito de la censura, contrariamente, de no lograr ese cometido, su hipótesis, </w:t>
      </w:r>
      <w:r w:rsidR="00E21AFB" w:rsidRPr="007225E4">
        <w:rPr>
          <w:rFonts w:ascii="Bookman Old Style" w:hAnsi="Bookman Old Style"/>
          <w:i/>
          <w:sz w:val="24"/>
          <w:szCs w:val="24"/>
          <w:u w:val="single"/>
          <w:lang w:val="es-ES_tradnl"/>
        </w:rPr>
        <w:t>aun cuando sea aceptable, no dejará de ser un mero alegato de instancia incapaz de derruir las bases del fallo combativo</w:t>
      </w:r>
      <w:r w:rsidR="00E21AFB" w:rsidRPr="007225E4">
        <w:rPr>
          <w:rFonts w:ascii="Bookman Old Style" w:hAnsi="Bookman Old Style"/>
          <w:i/>
          <w:sz w:val="24"/>
          <w:szCs w:val="24"/>
          <w:lang w:val="es-ES_tradnl"/>
        </w:rPr>
        <w:t xml:space="preserve">, </w:t>
      </w:r>
      <w:r w:rsidR="00E21AFB" w:rsidRPr="007225E4">
        <w:rPr>
          <w:rFonts w:ascii="Bookman Old Style" w:hAnsi="Bookman Old Style"/>
          <w:i/>
          <w:sz w:val="24"/>
          <w:szCs w:val="24"/>
          <w:u w:val="single"/>
          <w:lang w:val="es-ES_tradnl"/>
        </w:rPr>
        <w:t>precisamente, por la doble presunción de legalidad y de acierto con que viene revestido</w:t>
      </w:r>
      <w:r w:rsidR="00E21AFB" w:rsidRPr="007225E4">
        <w:rPr>
          <w:rFonts w:ascii="Bookman Old Style" w:hAnsi="Bookman Old Style"/>
          <w:iCs/>
          <w:sz w:val="28"/>
          <w:szCs w:val="28"/>
          <w:lang w:val="es-ES"/>
        </w:rPr>
        <w:t>» (AC5520-2022</w:t>
      </w:r>
      <w:r w:rsidR="00555D9F" w:rsidRPr="007225E4">
        <w:rPr>
          <w:rFonts w:ascii="Bookman Old Style" w:hAnsi="Bookman Old Style"/>
          <w:iCs/>
          <w:sz w:val="28"/>
          <w:szCs w:val="28"/>
          <w:lang w:val="es-ES"/>
        </w:rPr>
        <w:t>. Subrayado de la Sala</w:t>
      </w:r>
      <w:r w:rsidR="00E21AFB" w:rsidRPr="007225E4">
        <w:rPr>
          <w:rFonts w:ascii="Bookman Old Style" w:hAnsi="Bookman Old Style"/>
          <w:iCs/>
          <w:sz w:val="28"/>
          <w:szCs w:val="28"/>
          <w:lang w:val="es-ES"/>
        </w:rPr>
        <w:t>)</w:t>
      </w:r>
      <w:r w:rsidR="00E21AFB" w:rsidRPr="007225E4">
        <w:rPr>
          <w:rFonts w:ascii="Bookman Old Style" w:hAnsi="Bookman Old Style"/>
          <w:sz w:val="28"/>
          <w:szCs w:val="28"/>
          <w:lang w:val="es-ES_tradnl"/>
        </w:rPr>
        <w:t>.</w:t>
      </w:r>
    </w:p>
    <w:p w14:paraId="1FCC75DA" w14:textId="77777777" w:rsidR="00F93BAA" w:rsidRPr="007225E4" w:rsidRDefault="00F93BAA" w:rsidP="00F92684">
      <w:pPr>
        <w:tabs>
          <w:tab w:val="left" w:pos="1418"/>
        </w:tabs>
        <w:spacing w:after="0"/>
        <w:jc w:val="both"/>
        <w:rPr>
          <w:rFonts w:ascii="Bookman Old Style" w:hAnsi="Bookman Old Style"/>
          <w:sz w:val="28"/>
          <w:szCs w:val="28"/>
          <w:lang w:val="es-MX"/>
        </w:rPr>
      </w:pPr>
    </w:p>
    <w:p w14:paraId="6E553BF7" w14:textId="64FFD30D" w:rsidR="00F93BAA" w:rsidRPr="00070745" w:rsidRDefault="00F93BAA" w:rsidP="00070745">
      <w:pPr>
        <w:spacing w:after="0" w:line="360" w:lineRule="auto"/>
        <w:ind w:firstLine="709"/>
        <w:jc w:val="both"/>
        <w:rPr>
          <w:rFonts w:ascii="Bookman Old Style" w:eastAsiaTheme="minorHAnsi" w:hAnsi="Bookman Old Style"/>
          <w:sz w:val="28"/>
          <w:szCs w:val="28"/>
        </w:rPr>
      </w:pPr>
      <w:r w:rsidRPr="007225E4">
        <w:rPr>
          <w:rFonts w:ascii="Bookman Old Style" w:hAnsi="Bookman Old Style"/>
          <w:sz w:val="28"/>
          <w:szCs w:val="28"/>
        </w:rPr>
        <w:lastRenderedPageBreak/>
        <w:t xml:space="preserve">2. </w:t>
      </w:r>
      <w:r w:rsidR="00440913" w:rsidRPr="007225E4">
        <w:rPr>
          <w:rFonts w:ascii="Bookman Old Style" w:hAnsi="Bookman Old Style"/>
          <w:sz w:val="28"/>
          <w:szCs w:val="28"/>
        </w:rPr>
        <w:t>Por consiguiente</w:t>
      </w:r>
      <w:r w:rsidRPr="007225E4">
        <w:rPr>
          <w:rFonts w:ascii="Bookman Old Style" w:hAnsi="Bookman Old Style"/>
          <w:sz w:val="28"/>
          <w:szCs w:val="28"/>
        </w:rPr>
        <w:t xml:space="preserve">, la fundamentación del cargo </w:t>
      </w:r>
      <w:r w:rsidRPr="007225E4">
        <w:rPr>
          <w:rFonts w:ascii="Bookman Old Style" w:eastAsiaTheme="minorHAnsi" w:hAnsi="Bookman Old Style"/>
          <w:sz w:val="28"/>
          <w:szCs w:val="28"/>
        </w:rPr>
        <w:t>no puede consistir simplemente en presentar el disentimiento del recurrente frente a la apreciación probatoria que hizo el Tribunal. Por el contrario, aquél debe ir mucho más allá: debe poner de presente en forma clara y precisa, contundentemente, los errores fácticos en que incurrió el Juzgador de segunda instancia al apreciar los elementos de juicio que obren en el proceso y, en el evento de pretermitir algunos, indicar su influencia para cambiar el sentido del fallo. De ahí que</w:t>
      </w:r>
      <w:r w:rsidRPr="007225E4">
        <w:rPr>
          <w:rFonts w:ascii="Bookman Old Style" w:eastAsiaTheme="minorHAnsi" w:hAnsi="Bookman Old Style"/>
          <w:i/>
          <w:iCs/>
          <w:sz w:val="28"/>
          <w:szCs w:val="28"/>
        </w:rPr>
        <w:t xml:space="preserve"> «</w:t>
      </w:r>
      <w:r w:rsidRPr="007225E4">
        <w:rPr>
          <w:rFonts w:ascii="Bookman Old Style" w:hAnsi="Bookman Old Style"/>
          <w:i/>
          <w:iCs/>
          <w:sz w:val="28"/>
          <w:szCs w:val="28"/>
        </w:rPr>
        <w:t>[</w:t>
      </w:r>
      <w:r w:rsidRPr="007225E4">
        <w:rPr>
          <w:rFonts w:ascii="Bookman Old Style" w:hAnsi="Bookman Old Style"/>
          <w:i/>
          <w:iCs/>
          <w:sz w:val="24"/>
          <w:szCs w:val="24"/>
        </w:rPr>
        <w:t>p]</w:t>
      </w:r>
      <w:r w:rsidRPr="007225E4">
        <w:rPr>
          <w:rFonts w:ascii="Bookman Old Style" w:hAnsi="Bookman Old Style"/>
          <w:i/>
          <w:iCs/>
          <w:sz w:val="24"/>
          <w:szCs w:val="24"/>
          <w:lang w:val="es-MX"/>
        </w:rPr>
        <w:t xml:space="preserve">ara que se produzca esa clase de error -como lo ha pregonado la Corte en constante jurisprudencia- que la equivocación del sentenciador haya sido de tal magnitud que sin mayor esfuerzo en el análisis de las probanzas se debe a que la apreciación probatoria pugna evidentemente y de manera manifiesta con la realidad del proceso. </w:t>
      </w:r>
      <w:r w:rsidRPr="007225E4">
        <w:rPr>
          <w:rFonts w:ascii="Bookman Old Style" w:hAnsi="Bookman Old Style"/>
          <w:b/>
          <w:bCs/>
          <w:i/>
          <w:iCs/>
          <w:sz w:val="24"/>
          <w:szCs w:val="24"/>
          <w:lang w:val="es-MX"/>
        </w:rPr>
        <w:t>La duda que genera el punto de hecho o la pluralidad de interpretaciones que sugiera, excluyen, en consecuencia, la existencia de un error de la naturaleza indicada</w:t>
      </w:r>
      <w:r w:rsidRPr="007225E4">
        <w:rPr>
          <w:rFonts w:ascii="Bookman Old Style" w:hAnsi="Bookman Old Style"/>
          <w:b/>
          <w:bCs/>
          <w:i/>
          <w:iCs/>
          <w:sz w:val="28"/>
          <w:szCs w:val="28"/>
          <w:lang w:val="es-MX"/>
        </w:rPr>
        <w:t>»</w:t>
      </w:r>
      <w:r w:rsidRPr="007225E4">
        <w:rPr>
          <w:rStyle w:val="Refdenotaalpie"/>
          <w:rFonts w:ascii="Bookman Old Style" w:hAnsi="Bookman Old Style"/>
          <w:sz w:val="28"/>
          <w:szCs w:val="28"/>
          <w:lang w:val="es-MX"/>
        </w:rPr>
        <w:footnoteReference w:id="27"/>
      </w:r>
      <w:r w:rsidRPr="007225E4">
        <w:rPr>
          <w:rFonts w:ascii="Bookman Old Style" w:hAnsi="Bookman Old Style"/>
          <w:sz w:val="28"/>
          <w:szCs w:val="28"/>
          <w:lang w:val="es-MX"/>
        </w:rPr>
        <w:t>.</w:t>
      </w:r>
    </w:p>
    <w:p w14:paraId="3DEA5E3D" w14:textId="77777777" w:rsidR="00902AD8" w:rsidRPr="007225E4" w:rsidRDefault="00902AD8" w:rsidP="00F92684">
      <w:pPr>
        <w:spacing w:after="0" w:line="360" w:lineRule="auto"/>
        <w:jc w:val="both"/>
        <w:rPr>
          <w:rFonts w:ascii="Bookman Old Style" w:eastAsiaTheme="minorHAnsi" w:hAnsi="Bookman Old Style"/>
          <w:sz w:val="28"/>
          <w:szCs w:val="28"/>
        </w:rPr>
      </w:pPr>
    </w:p>
    <w:p w14:paraId="6B59E8E7" w14:textId="75F527A0" w:rsidR="008B3377" w:rsidRPr="00CB1226" w:rsidRDefault="00F93BAA" w:rsidP="00F92684">
      <w:pPr>
        <w:spacing w:after="0" w:line="360" w:lineRule="auto"/>
        <w:ind w:firstLine="709"/>
        <w:jc w:val="both"/>
        <w:rPr>
          <w:rFonts w:ascii="Bookman Old Style" w:hAnsi="Bookman Old Style" w:cs="Bookman Old Style"/>
          <w:sz w:val="32"/>
          <w:szCs w:val="32"/>
          <w:lang w:eastAsia="es-CO"/>
        </w:rPr>
      </w:pPr>
      <w:r w:rsidRPr="007225E4">
        <w:rPr>
          <w:rFonts w:ascii="Bookman Old Style" w:hAnsi="Bookman Old Style" w:cs="Bookman Old Style"/>
          <w:sz w:val="28"/>
          <w:szCs w:val="28"/>
          <w:lang w:eastAsia="es-CO"/>
        </w:rPr>
        <w:t xml:space="preserve">3. </w:t>
      </w:r>
      <w:r w:rsidR="001D4C45" w:rsidRPr="007225E4">
        <w:rPr>
          <w:rFonts w:ascii="Bookman Old Style" w:hAnsi="Bookman Old Style"/>
          <w:sz w:val="28"/>
          <w:szCs w:val="28"/>
        </w:rPr>
        <w:t xml:space="preserve">Del escrutinio al acervo documental, se advierte que para el Tribunal: i) </w:t>
      </w:r>
      <w:r w:rsidR="00D34561" w:rsidRPr="007225E4">
        <w:rPr>
          <w:rFonts w:ascii="Bookman Old Style" w:hAnsi="Bookman Old Style" w:cs="Bookman Old Style"/>
          <w:sz w:val="28"/>
          <w:szCs w:val="28"/>
          <w:lang w:eastAsia="es-CO"/>
        </w:rPr>
        <w:t xml:space="preserve">el tomador cumplió con su obligación de pagar la prima, en la forma y tiempo </w:t>
      </w:r>
      <w:r w:rsidR="00CB1226" w:rsidRPr="007225E4">
        <w:rPr>
          <w:rFonts w:ascii="Bookman Old Style" w:hAnsi="Bookman Old Style" w:cs="Bookman Old Style"/>
          <w:sz w:val="28"/>
          <w:szCs w:val="28"/>
          <w:lang w:eastAsia="es-CO"/>
        </w:rPr>
        <w:t>pactados;</w:t>
      </w:r>
      <w:r w:rsidR="00D34561" w:rsidRPr="007225E4">
        <w:rPr>
          <w:rFonts w:ascii="Bookman Old Style" w:hAnsi="Bookman Old Style" w:cs="Bookman Old Style"/>
          <w:sz w:val="28"/>
          <w:szCs w:val="28"/>
          <w:lang w:eastAsia="es-CO"/>
        </w:rPr>
        <w:t xml:space="preserve"> ii) que a la aseguradora no le era dable activar</w:t>
      </w:r>
      <w:r w:rsidR="008B3377" w:rsidRPr="007225E4">
        <w:rPr>
          <w:rFonts w:ascii="Bookman Old Style" w:hAnsi="Bookman Old Style" w:cs="Bookman Old Style"/>
          <w:sz w:val="28"/>
          <w:szCs w:val="28"/>
          <w:lang w:eastAsia="es-CO"/>
        </w:rPr>
        <w:t xml:space="preserve"> la cláusula que le permitía terminar el contrato de seguro, puesto que, el asegurado cumplió con su prestación</w:t>
      </w:r>
      <w:r w:rsidR="00CB1226" w:rsidRPr="007225E4">
        <w:rPr>
          <w:rFonts w:ascii="Bookman Old Style" w:hAnsi="Bookman Old Style" w:cs="Bookman Old Style"/>
          <w:sz w:val="28"/>
          <w:szCs w:val="28"/>
          <w:lang w:eastAsia="es-CO"/>
        </w:rPr>
        <w:t>;</w:t>
      </w:r>
      <w:r w:rsidR="008B3377" w:rsidRPr="007225E4">
        <w:rPr>
          <w:rFonts w:ascii="Bookman Old Style" w:hAnsi="Bookman Old Style" w:cs="Bookman Old Style"/>
          <w:sz w:val="28"/>
          <w:szCs w:val="28"/>
          <w:lang w:eastAsia="es-CO"/>
        </w:rPr>
        <w:t xml:space="preserve"> iii) </w:t>
      </w:r>
      <w:r w:rsidR="00CB1226" w:rsidRPr="007225E4">
        <w:rPr>
          <w:rFonts w:ascii="Bookman Old Style" w:hAnsi="Bookman Old Style" w:cs="Bookman Old Style"/>
          <w:sz w:val="28"/>
          <w:szCs w:val="28"/>
          <w:lang w:eastAsia="es-CO"/>
        </w:rPr>
        <w:t>q</w:t>
      </w:r>
      <w:r w:rsidR="008B3377" w:rsidRPr="007225E4">
        <w:rPr>
          <w:rFonts w:ascii="Bookman Old Style" w:hAnsi="Bookman Old Style" w:cs="Bookman Old Style"/>
          <w:sz w:val="28"/>
          <w:szCs w:val="28"/>
          <w:lang w:eastAsia="es-CO"/>
        </w:rPr>
        <w:t xml:space="preserve">ue en la póliza no se estipuló que  </w:t>
      </w:r>
      <w:r w:rsidR="008B3377" w:rsidRPr="007225E4">
        <w:rPr>
          <w:rFonts w:ascii="Bookman Old Style" w:hAnsi="Bookman Old Style"/>
          <w:i/>
          <w:iCs/>
          <w:sz w:val="32"/>
          <w:szCs w:val="32"/>
        </w:rPr>
        <w:t>«</w:t>
      </w:r>
      <w:r w:rsidR="008B3377" w:rsidRPr="007225E4">
        <w:rPr>
          <w:rFonts w:ascii="Bookman Old Style" w:hAnsi="Bookman Old Style"/>
          <w:i/>
          <w:iCs/>
          <w:sz w:val="24"/>
          <w:szCs w:val="24"/>
        </w:rPr>
        <w:t xml:space="preserve">con la suma que se obligó el demandante a sufragar por concepto de primas(8 cuotas por 8 </w:t>
      </w:r>
      <w:proofErr w:type="spellStart"/>
      <w:r w:rsidR="008B3377" w:rsidRPr="007225E4">
        <w:rPr>
          <w:rFonts w:ascii="Bookman Old Style" w:hAnsi="Bookman Old Style"/>
          <w:i/>
          <w:iCs/>
          <w:sz w:val="24"/>
          <w:szCs w:val="24"/>
        </w:rPr>
        <w:t>años</w:t>
      </w:r>
      <w:proofErr w:type="spellEnd"/>
      <w:r w:rsidR="008B3377" w:rsidRPr="007225E4">
        <w:rPr>
          <w:rFonts w:ascii="Bookman Old Style" w:hAnsi="Bookman Old Style"/>
          <w:i/>
          <w:iCs/>
          <w:sz w:val="24"/>
          <w:szCs w:val="24"/>
        </w:rPr>
        <w:t xml:space="preserve">), se conformaría un fondo, a partir del cual, según una proyección del "24%" anual de rendimiento "sujetas a la variación de las tasas de interés del mercado" se sufragarían las primas subsiguientes para mantenerse el seguro de vida </w:t>
      </w:r>
      <w:r w:rsidR="008B3377" w:rsidRPr="007225E4">
        <w:rPr>
          <w:rFonts w:ascii="Bookman Old Style" w:hAnsi="Bookman Old Style"/>
          <w:i/>
          <w:iCs/>
          <w:sz w:val="24"/>
          <w:szCs w:val="24"/>
        </w:rPr>
        <w:lastRenderedPageBreak/>
        <w:t>hasta los 80 años de edad</w:t>
      </w:r>
      <w:r w:rsidR="008B3377" w:rsidRPr="007225E4">
        <w:rPr>
          <w:rFonts w:ascii="Bookman Old Style" w:hAnsi="Bookman Old Style"/>
          <w:i/>
          <w:iCs/>
          <w:sz w:val="28"/>
          <w:szCs w:val="28"/>
        </w:rPr>
        <w:t>»</w:t>
      </w:r>
      <w:r w:rsidR="006E2494">
        <w:rPr>
          <w:rFonts w:ascii="Bookman Old Style" w:hAnsi="Bookman Old Style"/>
          <w:i/>
          <w:iCs/>
          <w:sz w:val="28"/>
          <w:szCs w:val="28"/>
        </w:rPr>
        <w:t>.</w:t>
      </w:r>
      <w:r w:rsidR="00CB1226" w:rsidRPr="007225E4">
        <w:rPr>
          <w:rFonts w:ascii="Bookman Old Style" w:hAnsi="Bookman Old Style"/>
          <w:i/>
          <w:iCs/>
          <w:sz w:val="28"/>
          <w:szCs w:val="28"/>
        </w:rPr>
        <w:t xml:space="preserve"> </w:t>
      </w:r>
      <w:r w:rsidR="006E2494">
        <w:rPr>
          <w:rFonts w:ascii="Bookman Old Style" w:hAnsi="Bookman Old Style"/>
          <w:sz w:val="28"/>
          <w:szCs w:val="28"/>
        </w:rPr>
        <w:t>Y</w:t>
      </w:r>
      <w:r w:rsidR="00CB1226" w:rsidRPr="007225E4">
        <w:rPr>
          <w:rFonts w:ascii="Bookman Old Style" w:hAnsi="Bookman Old Style"/>
          <w:sz w:val="28"/>
          <w:szCs w:val="28"/>
        </w:rPr>
        <w:t>,</w:t>
      </w:r>
      <w:r w:rsidR="008B3377" w:rsidRPr="007225E4">
        <w:rPr>
          <w:rFonts w:ascii="Bookman Old Style" w:hAnsi="Bookman Old Style"/>
          <w:i/>
          <w:iCs/>
          <w:sz w:val="28"/>
          <w:szCs w:val="28"/>
        </w:rPr>
        <w:t xml:space="preserve"> </w:t>
      </w:r>
      <w:r w:rsidR="00F21CC3" w:rsidRPr="007225E4">
        <w:rPr>
          <w:rFonts w:ascii="Bookman Old Style" w:hAnsi="Bookman Old Style"/>
          <w:sz w:val="28"/>
          <w:szCs w:val="28"/>
        </w:rPr>
        <w:t>iv)</w:t>
      </w:r>
      <w:r w:rsidR="00F21CC3" w:rsidRPr="007225E4">
        <w:rPr>
          <w:rFonts w:ascii="Bookman Old Style" w:hAnsi="Bookman Old Style"/>
          <w:sz w:val="26"/>
          <w:szCs w:val="26"/>
        </w:rPr>
        <w:t xml:space="preserve"> </w:t>
      </w:r>
      <w:r w:rsidR="00CB1226" w:rsidRPr="007225E4">
        <w:rPr>
          <w:rFonts w:ascii="Bookman Old Style" w:hAnsi="Bookman Old Style"/>
          <w:sz w:val="28"/>
          <w:szCs w:val="28"/>
        </w:rPr>
        <w:t>q</w:t>
      </w:r>
      <w:r w:rsidR="00F21CC3" w:rsidRPr="007225E4">
        <w:rPr>
          <w:rFonts w:ascii="Bookman Old Style" w:hAnsi="Bookman Old Style"/>
          <w:sz w:val="28"/>
          <w:szCs w:val="28"/>
        </w:rPr>
        <w:t xml:space="preserve">ue no existe prueba que </w:t>
      </w:r>
      <w:r w:rsidR="00CB1226" w:rsidRPr="007225E4">
        <w:rPr>
          <w:rFonts w:ascii="Bookman Old Style" w:hAnsi="Bookman Old Style"/>
          <w:sz w:val="28"/>
          <w:szCs w:val="28"/>
        </w:rPr>
        <w:t>dé</w:t>
      </w:r>
      <w:r w:rsidR="00F21CC3" w:rsidRPr="007225E4">
        <w:rPr>
          <w:rFonts w:ascii="Bookman Old Style" w:hAnsi="Bookman Old Style"/>
          <w:sz w:val="28"/>
          <w:szCs w:val="28"/>
        </w:rPr>
        <w:t xml:space="preserve"> cuenta </w:t>
      </w:r>
      <w:r w:rsidR="00CB1226" w:rsidRPr="007225E4">
        <w:rPr>
          <w:rFonts w:ascii="Bookman Old Style" w:hAnsi="Bookman Old Style"/>
          <w:sz w:val="28"/>
          <w:szCs w:val="28"/>
        </w:rPr>
        <w:t xml:space="preserve">de </w:t>
      </w:r>
      <w:r w:rsidR="00F21CC3" w:rsidRPr="007225E4">
        <w:rPr>
          <w:rFonts w:ascii="Bookman Old Style" w:hAnsi="Bookman Old Style"/>
          <w:sz w:val="28"/>
          <w:szCs w:val="28"/>
        </w:rPr>
        <w:t xml:space="preserve">que </w:t>
      </w:r>
      <w:r w:rsidR="00CB1226" w:rsidRPr="007225E4">
        <w:rPr>
          <w:rFonts w:ascii="Bookman Old Style" w:hAnsi="Bookman Old Style"/>
          <w:sz w:val="28"/>
          <w:szCs w:val="28"/>
        </w:rPr>
        <w:t>«</w:t>
      </w:r>
      <w:r w:rsidR="00F21CC3" w:rsidRPr="007225E4">
        <w:rPr>
          <w:rFonts w:ascii="Bookman Old Style" w:hAnsi="Bookman Old Style"/>
          <w:i/>
          <w:iCs/>
          <w:sz w:val="28"/>
          <w:szCs w:val="28"/>
        </w:rPr>
        <w:t>el aseguramiento</w:t>
      </w:r>
      <w:r w:rsidR="00CB1226" w:rsidRPr="007225E4">
        <w:rPr>
          <w:rFonts w:ascii="Bookman Old Style" w:hAnsi="Bookman Old Style"/>
          <w:i/>
          <w:iCs/>
          <w:sz w:val="28"/>
          <w:szCs w:val="28"/>
        </w:rPr>
        <w:t>»</w:t>
      </w:r>
      <w:r w:rsidR="00F21CC3" w:rsidRPr="007225E4">
        <w:rPr>
          <w:rFonts w:ascii="Bookman Old Style" w:hAnsi="Bookman Old Style"/>
          <w:color w:val="FF0000"/>
          <w:sz w:val="28"/>
          <w:szCs w:val="28"/>
        </w:rPr>
        <w:t xml:space="preserve"> </w:t>
      </w:r>
      <w:r w:rsidR="00F21CC3" w:rsidRPr="007225E4">
        <w:rPr>
          <w:rFonts w:ascii="Bookman Old Style" w:hAnsi="Bookman Old Style"/>
          <w:sz w:val="28"/>
          <w:szCs w:val="28"/>
        </w:rPr>
        <w:t>se encontraba condicionado a circunstancias adicionales al pago de la prima en ocho (8) instalamentos.</w:t>
      </w:r>
      <w:r w:rsidR="00F21CC3" w:rsidRPr="00CB1226">
        <w:rPr>
          <w:rFonts w:ascii="Bookman Old Style" w:hAnsi="Bookman Old Style"/>
          <w:sz w:val="28"/>
          <w:szCs w:val="28"/>
        </w:rPr>
        <w:t xml:space="preserve"> </w:t>
      </w:r>
    </w:p>
    <w:p w14:paraId="079682EE" w14:textId="5344677F" w:rsidR="00F93BAA" w:rsidRPr="00BD677A" w:rsidRDefault="00F93BAA" w:rsidP="00F92684">
      <w:pPr>
        <w:spacing w:after="0" w:line="360" w:lineRule="auto"/>
        <w:ind w:firstLine="709"/>
        <w:jc w:val="both"/>
        <w:rPr>
          <w:rFonts w:ascii="Bookman Old Style" w:hAnsi="Bookman Old Style" w:cs="Bookman Old Style"/>
          <w:sz w:val="28"/>
          <w:szCs w:val="28"/>
          <w:lang w:eastAsia="es-CO"/>
        </w:rPr>
      </w:pPr>
    </w:p>
    <w:p w14:paraId="2D0DD51E" w14:textId="61DFA03C" w:rsidR="00A12F16" w:rsidRPr="009444EF" w:rsidRDefault="00A12F16" w:rsidP="009444EF">
      <w:pPr>
        <w:spacing w:after="0" w:line="360" w:lineRule="auto"/>
        <w:ind w:firstLine="709"/>
        <w:jc w:val="both"/>
        <w:rPr>
          <w:rFonts w:ascii="Bookman Old Style" w:hAnsi="Bookman Old Style"/>
          <w:sz w:val="28"/>
          <w:szCs w:val="28"/>
        </w:rPr>
      </w:pPr>
      <w:r>
        <w:rPr>
          <w:rFonts w:ascii="Bookman Old Style" w:hAnsi="Bookman Old Style"/>
          <w:sz w:val="28"/>
          <w:szCs w:val="28"/>
        </w:rPr>
        <w:t>4.</w:t>
      </w:r>
      <w:r w:rsidR="001D4C45" w:rsidRPr="00BD677A">
        <w:rPr>
          <w:rFonts w:ascii="Bookman Old Style" w:hAnsi="Bookman Old Style"/>
          <w:szCs w:val="28"/>
        </w:rPr>
        <w:t xml:space="preserve"> </w:t>
      </w:r>
      <w:r w:rsidR="00B66C95">
        <w:rPr>
          <w:rFonts w:ascii="Bookman Old Style" w:hAnsi="Bookman Old Style"/>
          <w:sz w:val="28"/>
          <w:szCs w:val="28"/>
        </w:rPr>
        <w:t>A</w:t>
      </w:r>
      <w:r w:rsidR="001D4C45" w:rsidRPr="00BD677A">
        <w:rPr>
          <w:rFonts w:ascii="Bookman Old Style" w:hAnsi="Bookman Old Style"/>
          <w:sz w:val="28"/>
          <w:szCs w:val="28"/>
        </w:rPr>
        <w:t xml:space="preserve"> juicio de esta Sala, </w:t>
      </w:r>
      <w:r w:rsidR="009444EF" w:rsidRPr="00A17175">
        <w:rPr>
          <w:rFonts w:ascii="Bookman Old Style" w:hAnsi="Bookman Old Style"/>
          <w:sz w:val="28"/>
          <w:szCs w:val="28"/>
        </w:rPr>
        <w:t xml:space="preserve">los razonamientos que siguió el Tribunal tienen soporte en las pruebas </w:t>
      </w:r>
      <w:r w:rsidR="001D4C45" w:rsidRPr="00A17175">
        <w:rPr>
          <w:rFonts w:ascii="Bookman Old Style" w:eastAsiaTheme="minorHAnsi" w:hAnsi="Bookman Old Style"/>
          <w:sz w:val="28"/>
          <w:szCs w:val="28"/>
        </w:rPr>
        <w:t xml:space="preserve">que el recurrente tilda de haber sido equivocadamente apreciadas por el </w:t>
      </w:r>
      <w:r w:rsidR="001D4C45" w:rsidRPr="00A17175">
        <w:rPr>
          <w:rFonts w:ascii="Bookman Old Style" w:eastAsiaTheme="minorHAnsi" w:hAnsi="Bookman Old Style"/>
          <w:i/>
          <w:iCs/>
          <w:sz w:val="28"/>
          <w:szCs w:val="28"/>
        </w:rPr>
        <w:t>ad quem</w:t>
      </w:r>
      <w:r w:rsidR="001D4C45" w:rsidRPr="00A17175">
        <w:rPr>
          <w:rFonts w:ascii="Bookman Old Style" w:eastAsiaTheme="minorHAnsi" w:hAnsi="Bookman Old Style"/>
          <w:sz w:val="28"/>
          <w:szCs w:val="28"/>
        </w:rPr>
        <w:t xml:space="preserve">. </w:t>
      </w:r>
      <w:r>
        <w:rPr>
          <w:rFonts w:ascii="Bookman Old Style" w:eastAsiaTheme="minorHAnsi" w:hAnsi="Bookman Old Style"/>
          <w:sz w:val="28"/>
          <w:szCs w:val="28"/>
        </w:rPr>
        <w:t>Al respecto, se ofrece lo que sigue</w:t>
      </w:r>
      <w:r w:rsidR="00D77EEE" w:rsidRPr="00216231">
        <w:rPr>
          <w:rFonts w:ascii="Bookman Old Style" w:eastAsiaTheme="minorHAnsi" w:hAnsi="Bookman Old Style"/>
          <w:sz w:val="28"/>
          <w:szCs w:val="28"/>
        </w:rPr>
        <w:t>:</w:t>
      </w:r>
    </w:p>
    <w:p w14:paraId="00EEC404" w14:textId="77777777" w:rsidR="00A12F16" w:rsidRDefault="00A12F16" w:rsidP="00F92684">
      <w:pPr>
        <w:spacing w:after="0" w:line="360" w:lineRule="auto"/>
        <w:ind w:firstLine="709"/>
        <w:jc w:val="both"/>
        <w:rPr>
          <w:rFonts w:ascii="Bookman Old Style" w:eastAsiaTheme="minorHAnsi" w:hAnsi="Bookman Old Style"/>
          <w:sz w:val="28"/>
          <w:szCs w:val="28"/>
        </w:rPr>
      </w:pPr>
    </w:p>
    <w:p w14:paraId="5EA92FDC" w14:textId="6B9F88C0" w:rsidR="00A12F16" w:rsidRDefault="00A12F16" w:rsidP="00F92684">
      <w:pPr>
        <w:spacing w:after="0" w:line="360" w:lineRule="auto"/>
        <w:ind w:firstLine="709"/>
        <w:jc w:val="both"/>
        <w:rPr>
          <w:rFonts w:ascii="Bookman Old Style" w:eastAsiaTheme="minorHAnsi" w:hAnsi="Bookman Old Style"/>
          <w:sz w:val="28"/>
          <w:szCs w:val="28"/>
        </w:rPr>
      </w:pPr>
      <w:r>
        <w:rPr>
          <w:rFonts w:ascii="Bookman Old Style" w:eastAsiaTheme="minorHAnsi" w:hAnsi="Bookman Old Style"/>
          <w:sz w:val="28"/>
          <w:szCs w:val="28"/>
        </w:rPr>
        <w:t>4.1. E</w:t>
      </w:r>
      <w:r w:rsidR="001D4C45" w:rsidRPr="00BD677A">
        <w:rPr>
          <w:rFonts w:ascii="Bookman Old Style" w:eastAsiaTheme="minorHAnsi" w:hAnsi="Bookman Old Style"/>
          <w:sz w:val="28"/>
          <w:szCs w:val="28"/>
        </w:rPr>
        <w:t>n el contrato de seguro</w:t>
      </w:r>
      <w:r>
        <w:rPr>
          <w:rFonts w:ascii="Bookman Old Style" w:eastAsiaTheme="minorHAnsi" w:hAnsi="Bookman Old Style"/>
          <w:sz w:val="28"/>
          <w:szCs w:val="28"/>
        </w:rPr>
        <w:t>, en las condiciones generales</w:t>
      </w:r>
      <w:r w:rsidR="001D4C45" w:rsidRPr="00BD677A">
        <w:rPr>
          <w:rFonts w:ascii="Bookman Old Style" w:eastAsiaTheme="minorHAnsi" w:hAnsi="Bookman Old Style"/>
          <w:sz w:val="28"/>
          <w:szCs w:val="28"/>
        </w:rPr>
        <w:t xml:space="preserve"> se </w:t>
      </w:r>
      <w:r w:rsidR="00B66C95">
        <w:rPr>
          <w:rFonts w:ascii="Bookman Old Style" w:eastAsiaTheme="minorHAnsi" w:hAnsi="Bookman Old Style"/>
          <w:sz w:val="28"/>
          <w:szCs w:val="28"/>
        </w:rPr>
        <w:t>consagró</w:t>
      </w:r>
      <w:r>
        <w:rPr>
          <w:rFonts w:ascii="Bookman Old Style" w:eastAsiaTheme="minorHAnsi" w:hAnsi="Bookman Old Style"/>
          <w:sz w:val="28"/>
          <w:szCs w:val="28"/>
        </w:rPr>
        <w:t xml:space="preserve"> lo siguiente</w:t>
      </w:r>
      <w:r w:rsidR="002C1168">
        <w:rPr>
          <w:rFonts w:ascii="Bookman Old Style" w:eastAsiaTheme="minorHAnsi" w:hAnsi="Bookman Old Style"/>
          <w:sz w:val="28"/>
          <w:szCs w:val="28"/>
        </w:rPr>
        <w:t>:</w:t>
      </w:r>
    </w:p>
    <w:p w14:paraId="16E19609" w14:textId="77777777" w:rsidR="00A12F16" w:rsidRDefault="00A12F16" w:rsidP="00F92684">
      <w:pPr>
        <w:spacing w:after="0" w:line="360" w:lineRule="auto"/>
        <w:ind w:firstLine="709"/>
        <w:jc w:val="both"/>
        <w:rPr>
          <w:rFonts w:ascii="Bookman Old Style" w:eastAsiaTheme="minorHAnsi" w:hAnsi="Bookman Old Style"/>
          <w:sz w:val="28"/>
          <w:szCs w:val="28"/>
        </w:rPr>
      </w:pPr>
    </w:p>
    <w:p w14:paraId="5C7D8B9E" w14:textId="3344D54B" w:rsidR="00A12F16" w:rsidRPr="00AC62C1" w:rsidRDefault="001D4C45" w:rsidP="00F92684">
      <w:pPr>
        <w:spacing w:after="0"/>
        <w:ind w:left="709"/>
        <w:jc w:val="both"/>
        <w:rPr>
          <w:rFonts w:ascii="Bookman Old Style" w:eastAsiaTheme="minorHAnsi" w:hAnsi="Bookman Old Style"/>
          <w:i/>
          <w:iCs/>
          <w:sz w:val="28"/>
          <w:szCs w:val="28"/>
        </w:rPr>
      </w:pPr>
      <w:r w:rsidRPr="00AC62C1">
        <w:rPr>
          <w:rFonts w:ascii="Bookman Old Style" w:eastAsiaTheme="minorHAnsi" w:hAnsi="Bookman Old Style"/>
          <w:sz w:val="28"/>
          <w:szCs w:val="28"/>
        </w:rPr>
        <w:t>«</w:t>
      </w:r>
      <w:r w:rsidR="00A12F16" w:rsidRPr="00AC62C1">
        <w:rPr>
          <w:rFonts w:ascii="Bookman Old Style" w:eastAsiaTheme="minorHAnsi" w:hAnsi="Bookman Old Style"/>
          <w:i/>
          <w:iCs/>
          <w:sz w:val="24"/>
          <w:szCs w:val="24"/>
        </w:rPr>
        <w:t>SEGUROS FENIX DE VISA S.A., otorga el presente seguro de vida con base en las siguientes condiciones:</w:t>
      </w:r>
    </w:p>
    <w:p w14:paraId="65DB4C3C" w14:textId="05E8BCB4" w:rsidR="00A12F16" w:rsidRPr="00AC62C1" w:rsidRDefault="00A12F16" w:rsidP="00F92684">
      <w:pPr>
        <w:spacing w:after="0"/>
        <w:ind w:left="709"/>
        <w:jc w:val="both"/>
        <w:rPr>
          <w:rFonts w:ascii="Bookman Old Style" w:eastAsiaTheme="minorHAnsi" w:hAnsi="Bookman Old Style"/>
          <w:sz w:val="24"/>
          <w:szCs w:val="24"/>
        </w:rPr>
      </w:pPr>
      <w:r w:rsidRPr="00AC62C1">
        <w:rPr>
          <w:rFonts w:ascii="Bookman Old Style" w:eastAsiaTheme="minorHAnsi" w:hAnsi="Bookman Old Style"/>
          <w:sz w:val="24"/>
          <w:szCs w:val="24"/>
        </w:rPr>
        <w:t>(…)</w:t>
      </w:r>
    </w:p>
    <w:p w14:paraId="145FA894" w14:textId="77777777" w:rsidR="00A12F16" w:rsidRPr="00AC62C1" w:rsidRDefault="00A12F16" w:rsidP="00F92684">
      <w:pPr>
        <w:spacing w:after="0"/>
        <w:ind w:left="709"/>
        <w:jc w:val="both"/>
        <w:rPr>
          <w:rFonts w:ascii="Bookman Old Style" w:eastAsiaTheme="minorHAnsi" w:hAnsi="Bookman Old Style"/>
          <w:i/>
          <w:iCs/>
          <w:sz w:val="24"/>
          <w:szCs w:val="24"/>
        </w:rPr>
      </w:pPr>
      <w:r w:rsidRPr="00AC62C1">
        <w:rPr>
          <w:rFonts w:ascii="Bookman Old Style" w:eastAsiaTheme="minorHAnsi" w:hAnsi="Bookman Old Style"/>
          <w:i/>
          <w:iCs/>
          <w:sz w:val="24"/>
          <w:szCs w:val="24"/>
        </w:rPr>
        <w:t>2</w:t>
      </w:r>
      <w:r w:rsidRPr="00AC62C1">
        <w:rPr>
          <w:rFonts w:ascii="Bookman Old Style" w:eastAsiaTheme="minorHAnsi" w:hAnsi="Bookman Old Style"/>
          <w:sz w:val="28"/>
          <w:szCs w:val="28"/>
        </w:rPr>
        <w:t xml:space="preserve">. </w:t>
      </w:r>
      <w:r w:rsidR="001D4C45" w:rsidRPr="00AC62C1">
        <w:rPr>
          <w:rFonts w:ascii="Bookman Old Style" w:eastAsiaTheme="minorHAnsi" w:hAnsi="Bookman Old Style"/>
          <w:i/>
          <w:iCs/>
          <w:sz w:val="24"/>
          <w:szCs w:val="24"/>
        </w:rPr>
        <w:t>Tipos de planes:</w:t>
      </w:r>
      <w:r w:rsidR="004D489C" w:rsidRPr="00AC62C1">
        <w:rPr>
          <w:rFonts w:ascii="Bookman Old Style" w:eastAsiaTheme="minorHAnsi" w:hAnsi="Bookman Old Style"/>
          <w:i/>
          <w:iCs/>
          <w:sz w:val="24"/>
          <w:szCs w:val="24"/>
        </w:rPr>
        <w:t xml:space="preserve"> </w:t>
      </w:r>
    </w:p>
    <w:p w14:paraId="191CEEC7" w14:textId="77777777" w:rsidR="00A12F16" w:rsidRPr="00AC62C1" w:rsidRDefault="00A12F16" w:rsidP="00F92684">
      <w:pPr>
        <w:spacing w:after="0"/>
        <w:ind w:left="709"/>
        <w:jc w:val="both"/>
        <w:rPr>
          <w:rFonts w:ascii="Bookman Old Style" w:eastAsiaTheme="minorHAnsi" w:hAnsi="Bookman Old Style"/>
          <w:i/>
          <w:iCs/>
          <w:sz w:val="24"/>
          <w:szCs w:val="24"/>
        </w:rPr>
      </w:pPr>
    </w:p>
    <w:p w14:paraId="52569298" w14:textId="5447DD32" w:rsidR="00A12F16" w:rsidRPr="00AC62C1" w:rsidRDefault="00A12F16" w:rsidP="00F92684">
      <w:pPr>
        <w:spacing w:after="0"/>
        <w:ind w:left="709"/>
        <w:jc w:val="both"/>
        <w:rPr>
          <w:rFonts w:ascii="Bookman Old Style" w:eastAsiaTheme="minorHAnsi" w:hAnsi="Bookman Old Style"/>
          <w:i/>
          <w:iCs/>
          <w:sz w:val="24"/>
          <w:szCs w:val="24"/>
        </w:rPr>
      </w:pPr>
      <w:r w:rsidRPr="00AC62C1">
        <w:rPr>
          <w:rFonts w:ascii="Bookman Old Style" w:eastAsiaTheme="minorHAnsi" w:hAnsi="Bookman Old Style"/>
          <w:i/>
          <w:iCs/>
          <w:sz w:val="24"/>
          <w:szCs w:val="24"/>
        </w:rPr>
        <w:t>2.1. PAGOS ANUALES</w:t>
      </w:r>
      <w:r w:rsidR="004D489C" w:rsidRPr="00AC62C1">
        <w:rPr>
          <w:rFonts w:ascii="Bookman Old Style" w:eastAsiaTheme="minorHAnsi" w:hAnsi="Bookman Old Style"/>
          <w:i/>
          <w:iCs/>
          <w:sz w:val="24"/>
          <w:szCs w:val="24"/>
        </w:rPr>
        <w:t xml:space="preserve">: </w:t>
      </w:r>
      <w:r w:rsidRPr="00AC62C1">
        <w:rPr>
          <w:rFonts w:ascii="Bookman Old Style" w:eastAsiaTheme="minorHAnsi" w:hAnsi="Bookman Old Style"/>
          <w:i/>
          <w:iCs/>
          <w:sz w:val="24"/>
          <w:szCs w:val="24"/>
        </w:rPr>
        <w:t>E</w:t>
      </w:r>
      <w:r w:rsidR="004D489C" w:rsidRPr="00AC62C1">
        <w:rPr>
          <w:rFonts w:ascii="Bookman Old Style" w:eastAsiaTheme="minorHAnsi" w:hAnsi="Bookman Old Style"/>
          <w:i/>
          <w:iCs/>
          <w:sz w:val="24"/>
          <w:szCs w:val="24"/>
        </w:rPr>
        <w:t>l asegurado paga el valor de la prima año tras año</w:t>
      </w:r>
      <w:r w:rsidR="001D4C45" w:rsidRPr="00AC62C1">
        <w:rPr>
          <w:rFonts w:ascii="Bookman Old Style" w:eastAsiaTheme="minorHAnsi" w:hAnsi="Bookman Old Style"/>
          <w:i/>
          <w:iCs/>
          <w:sz w:val="24"/>
          <w:szCs w:val="24"/>
        </w:rPr>
        <w:t xml:space="preserve"> </w:t>
      </w:r>
      <w:r w:rsidR="004D489C" w:rsidRPr="00AC62C1">
        <w:rPr>
          <w:rFonts w:ascii="Bookman Old Style" w:eastAsiaTheme="minorHAnsi" w:hAnsi="Bookman Old Style"/>
          <w:i/>
          <w:iCs/>
          <w:sz w:val="24"/>
          <w:szCs w:val="24"/>
        </w:rPr>
        <w:t>hasta la edad de 80 años; genera valores de cesión si se toma la opción de ahorro</w:t>
      </w:r>
      <w:r w:rsidR="00A81027" w:rsidRPr="00AC62C1">
        <w:rPr>
          <w:rFonts w:ascii="Bookman Old Style" w:eastAsiaTheme="minorHAnsi" w:hAnsi="Bookman Old Style"/>
          <w:i/>
          <w:iCs/>
          <w:sz w:val="24"/>
          <w:szCs w:val="24"/>
        </w:rPr>
        <w:t xml:space="preserve">. </w:t>
      </w:r>
    </w:p>
    <w:p w14:paraId="3E9AD0C5" w14:textId="77777777" w:rsidR="00A12F16" w:rsidRPr="00AC62C1" w:rsidRDefault="00A12F16" w:rsidP="00F92684">
      <w:pPr>
        <w:spacing w:after="0"/>
        <w:ind w:left="709"/>
        <w:jc w:val="both"/>
        <w:rPr>
          <w:rFonts w:ascii="Bookman Old Style" w:eastAsiaTheme="minorHAnsi" w:hAnsi="Bookman Old Style"/>
          <w:i/>
          <w:iCs/>
          <w:sz w:val="24"/>
          <w:szCs w:val="24"/>
        </w:rPr>
      </w:pPr>
    </w:p>
    <w:p w14:paraId="45A09D93" w14:textId="77777777" w:rsidR="00A12F16" w:rsidRPr="00AC62C1" w:rsidRDefault="00A81027" w:rsidP="00F92684">
      <w:pPr>
        <w:spacing w:after="0"/>
        <w:ind w:left="709"/>
        <w:jc w:val="both"/>
        <w:rPr>
          <w:rFonts w:ascii="Bookman Old Style" w:eastAsiaTheme="minorHAnsi" w:hAnsi="Bookman Old Style"/>
          <w:i/>
          <w:iCs/>
          <w:sz w:val="24"/>
          <w:szCs w:val="24"/>
        </w:rPr>
      </w:pPr>
      <w:r w:rsidRPr="00AC62C1">
        <w:rPr>
          <w:rFonts w:ascii="Bookman Old Style" w:eastAsiaTheme="minorHAnsi" w:hAnsi="Bookman Old Style"/>
          <w:i/>
          <w:iCs/>
          <w:sz w:val="24"/>
          <w:szCs w:val="24"/>
        </w:rPr>
        <w:t xml:space="preserve">2.2 </w:t>
      </w:r>
      <w:r w:rsidR="00A12F16" w:rsidRPr="00AC62C1">
        <w:rPr>
          <w:rFonts w:ascii="Bookman Old Style" w:eastAsiaTheme="minorHAnsi" w:hAnsi="Bookman Old Style"/>
          <w:i/>
          <w:iCs/>
          <w:sz w:val="24"/>
          <w:szCs w:val="24"/>
        </w:rPr>
        <w:t>PAGO ÚNICO</w:t>
      </w:r>
      <w:r w:rsidRPr="00AC62C1">
        <w:rPr>
          <w:rFonts w:ascii="Bookman Old Style" w:eastAsiaTheme="minorHAnsi" w:hAnsi="Bookman Old Style"/>
          <w:i/>
          <w:iCs/>
          <w:sz w:val="24"/>
          <w:szCs w:val="24"/>
        </w:rPr>
        <w:t xml:space="preserve">: El asegurado paga una vez la prima y queda asegurado hasta la edad de 80 años; genera valores de cesión automáticamente. </w:t>
      </w:r>
    </w:p>
    <w:p w14:paraId="08D27FAE" w14:textId="77777777" w:rsidR="00A12F16" w:rsidRPr="00AC62C1" w:rsidRDefault="00A12F16" w:rsidP="00F92684">
      <w:pPr>
        <w:spacing w:after="0"/>
        <w:ind w:left="709"/>
        <w:jc w:val="both"/>
        <w:rPr>
          <w:rFonts w:ascii="Bookman Old Style" w:eastAsiaTheme="minorHAnsi" w:hAnsi="Bookman Old Style"/>
          <w:i/>
          <w:iCs/>
          <w:sz w:val="24"/>
          <w:szCs w:val="24"/>
        </w:rPr>
      </w:pPr>
    </w:p>
    <w:p w14:paraId="59715E88" w14:textId="77777777" w:rsidR="00A12F16" w:rsidRPr="00AC62C1" w:rsidRDefault="00A81027" w:rsidP="00F92684">
      <w:pPr>
        <w:spacing w:after="0"/>
        <w:ind w:left="709"/>
        <w:jc w:val="both"/>
        <w:rPr>
          <w:rFonts w:ascii="Bookman Old Style" w:eastAsiaTheme="minorHAnsi" w:hAnsi="Bookman Old Style"/>
          <w:i/>
          <w:iCs/>
          <w:sz w:val="24"/>
          <w:szCs w:val="24"/>
        </w:rPr>
      </w:pPr>
      <w:r w:rsidRPr="00AC62C1">
        <w:rPr>
          <w:rFonts w:ascii="Bookman Old Style" w:eastAsiaTheme="minorHAnsi" w:hAnsi="Bookman Old Style"/>
          <w:i/>
          <w:iCs/>
          <w:sz w:val="24"/>
          <w:szCs w:val="24"/>
        </w:rPr>
        <w:t xml:space="preserve">2.3 </w:t>
      </w:r>
      <w:r w:rsidR="00A12F16" w:rsidRPr="00AC62C1">
        <w:rPr>
          <w:rFonts w:ascii="Bookman Old Style" w:eastAsiaTheme="minorHAnsi" w:hAnsi="Bookman Old Style"/>
          <w:i/>
          <w:iCs/>
          <w:sz w:val="24"/>
          <w:szCs w:val="24"/>
        </w:rPr>
        <w:t>CUATRO PAGOS</w:t>
      </w:r>
      <w:r w:rsidR="001D4C45" w:rsidRPr="00AC62C1">
        <w:rPr>
          <w:rFonts w:ascii="Bookman Old Style" w:eastAsiaTheme="minorHAnsi" w:hAnsi="Bookman Old Style"/>
          <w:i/>
          <w:iCs/>
          <w:sz w:val="24"/>
          <w:szCs w:val="24"/>
        </w:rPr>
        <w:t>: El asegurado pa</w:t>
      </w:r>
      <w:r w:rsidRPr="00AC62C1">
        <w:rPr>
          <w:rFonts w:ascii="Bookman Old Style" w:eastAsiaTheme="minorHAnsi" w:hAnsi="Bookman Old Style"/>
          <w:i/>
          <w:iCs/>
          <w:sz w:val="24"/>
          <w:szCs w:val="24"/>
        </w:rPr>
        <w:t>g</w:t>
      </w:r>
      <w:r w:rsidR="001D4C45" w:rsidRPr="00AC62C1">
        <w:rPr>
          <w:rFonts w:ascii="Bookman Old Style" w:eastAsiaTheme="minorHAnsi" w:hAnsi="Bookman Old Style"/>
          <w:i/>
          <w:iCs/>
          <w:sz w:val="24"/>
          <w:szCs w:val="24"/>
        </w:rPr>
        <w:t>a primas por 4 años y queda asegurado</w:t>
      </w:r>
      <w:r w:rsidR="004D489C" w:rsidRPr="00AC62C1">
        <w:rPr>
          <w:rFonts w:ascii="Bookman Old Style" w:eastAsiaTheme="minorHAnsi" w:hAnsi="Bookman Old Style"/>
          <w:i/>
          <w:iCs/>
          <w:sz w:val="24"/>
          <w:szCs w:val="24"/>
        </w:rPr>
        <w:t xml:space="preserve"> hasta la edad de 80 años; genera valores de cesión automáticamente». </w:t>
      </w:r>
    </w:p>
    <w:p w14:paraId="76DA16F2" w14:textId="77777777" w:rsidR="00A12F16" w:rsidRPr="00AC62C1" w:rsidRDefault="00A12F16" w:rsidP="00F92684">
      <w:pPr>
        <w:spacing w:after="0"/>
        <w:ind w:left="709"/>
        <w:jc w:val="both"/>
        <w:rPr>
          <w:rFonts w:ascii="Bookman Old Style" w:eastAsiaTheme="minorHAnsi" w:hAnsi="Bookman Old Style"/>
          <w:i/>
          <w:iCs/>
          <w:sz w:val="24"/>
          <w:szCs w:val="24"/>
        </w:rPr>
      </w:pPr>
    </w:p>
    <w:p w14:paraId="6713F05F" w14:textId="77777777" w:rsidR="00A12F16" w:rsidRPr="00AC62C1" w:rsidRDefault="00A81027" w:rsidP="00F92684">
      <w:pPr>
        <w:spacing w:after="0"/>
        <w:ind w:left="709"/>
        <w:jc w:val="both"/>
        <w:rPr>
          <w:rFonts w:ascii="Bookman Old Style" w:eastAsiaTheme="minorHAnsi" w:hAnsi="Bookman Old Style"/>
          <w:b/>
          <w:bCs/>
          <w:i/>
          <w:iCs/>
          <w:sz w:val="24"/>
          <w:szCs w:val="24"/>
        </w:rPr>
      </w:pPr>
      <w:r w:rsidRPr="00AC62C1">
        <w:rPr>
          <w:rFonts w:ascii="Bookman Old Style" w:eastAsiaTheme="minorHAnsi" w:hAnsi="Bookman Old Style"/>
          <w:i/>
          <w:iCs/>
          <w:sz w:val="24"/>
          <w:szCs w:val="24"/>
        </w:rPr>
        <w:t xml:space="preserve">2.4 </w:t>
      </w:r>
      <w:r w:rsidR="00A12F16" w:rsidRPr="00AC62C1">
        <w:rPr>
          <w:rFonts w:ascii="Bookman Old Style" w:eastAsiaTheme="minorHAnsi" w:hAnsi="Bookman Old Style"/>
          <w:i/>
          <w:iCs/>
          <w:sz w:val="24"/>
          <w:szCs w:val="24"/>
        </w:rPr>
        <w:t>OCHO PAGOS</w:t>
      </w:r>
      <w:r w:rsidRPr="00AC62C1">
        <w:rPr>
          <w:rFonts w:ascii="Bookman Old Style" w:eastAsiaTheme="minorHAnsi" w:hAnsi="Bookman Old Style"/>
          <w:i/>
          <w:iCs/>
          <w:sz w:val="24"/>
          <w:szCs w:val="24"/>
        </w:rPr>
        <w:t xml:space="preserve">: </w:t>
      </w:r>
      <w:r w:rsidRPr="00AC62C1">
        <w:rPr>
          <w:rFonts w:ascii="Bookman Old Style" w:eastAsiaTheme="minorHAnsi" w:hAnsi="Bookman Old Style"/>
          <w:b/>
          <w:bCs/>
          <w:i/>
          <w:iCs/>
          <w:sz w:val="24"/>
          <w:szCs w:val="24"/>
        </w:rPr>
        <w:t>El asegurado paga primas por 8 años y queda asegurado hasta la edad de 80 años; genera valores de cesión automáticamente</w:t>
      </w:r>
      <w:r w:rsidRPr="00AC62C1">
        <w:rPr>
          <w:rStyle w:val="Refdenotaalpie"/>
          <w:rFonts w:ascii="Bookman Old Style" w:eastAsiaTheme="minorHAnsi" w:hAnsi="Bookman Old Style"/>
          <w:b/>
          <w:bCs/>
          <w:i/>
          <w:iCs/>
          <w:sz w:val="24"/>
          <w:szCs w:val="24"/>
        </w:rPr>
        <w:footnoteReference w:id="28"/>
      </w:r>
      <w:r w:rsidR="00A12F16" w:rsidRPr="00AC62C1">
        <w:rPr>
          <w:rFonts w:ascii="Bookman Old Style" w:eastAsiaTheme="minorHAnsi" w:hAnsi="Bookman Old Style"/>
          <w:b/>
          <w:bCs/>
          <w:i/>
          <w:iCs/>
          <w:sz w:val="24"/>
          <w:szCs w:val="24"/>
        </w:rPr>
        <w:t>.</w:t>
      </w:r>
    </w:p>
    <w:p w14:paraId="01694B89" w14:textId="77777777" w:rsidR="00A12F16" w:rsidRPr="00AC62C1" w:rsidRDefault="00A12F16" w:rsidP="00F92684">
      <w:pPr>
        <w:spacing w:after="0"/>
        <w:ind w:left="709"/>
        <w:jc w:val="both"/>
        <w:rPr>
          <w:rFonts w:ascii="Bookman Old Style" w:eastAsiaTheme="minorHAnsi" w:hAnsi="Bookman Old Style"/>
          <w:b/>
          <w:bCs/>
          <w:i/>
          <w:iCs/>
          <w:sz w:val="24"/>
          <w:szCs w:val="24"/>
        </w:rPr>
      </w:pPr>
    </w:p>
    <w:p w14:paraId="72FD741B" w14:textId="7E6712BE" w:rsidR="00A12F16" w:rsidRPr="00AC62C1" w:rsidRDefault="00A12F16" w:rsidP="00F92684">
      <w:pPr>
        <w:spacing w:after="0"/>
        <w:ind w:left="709"/>
        <w:jc w:val="both"/>
        <w:rPr>
          <w:rFonts w:ascii="Bookman Old Style" w:eastAsiaTheme="minorHAnsi" w:hAnsi="Bookman Old Style"/>
          <w:b/>
          <w:bCs/>
          <w:i/>
          <w:iCs/>
          <w:sz w:val="24"/>
          <w:szCs w:val="24"/>
        </w:rPr>
      </w:pPr>
      <w:r w:rsidRPr="00AC62C1">
        <w:rPr>
          <w:rFonts w:ascii="Bookman Old Style" w:eastAsiaTheme="minorHAnsi" w:hAnsi="Bookman Old Style"/>
          <w:i/>
          <w:iCs/>
          <w:sz w:val="24"/>
          <w:szCs w:val="24"/>
        </w:rPr>
        <w:lastRenderedPageBreak/>
        <w:t>2.5. DOCE PAGOS: El asegurado paga primas por 12 años y queda asegurado hasta la edad de 80 años; genera valores de cesión automáticamente</w:t>
      </w:r>
      <w:r w:rsidR="00A81027" w:rsidRPr="00AC62C1">
        <w:rPr>
          <w:rFonts w:ascii="Bookman Old Style" w:eastAsiaTheme="minorHAnsi" w:hAnsi="Bookman Old Style"/>
          <w:b/>
          <w:bCs/>
          <w:i/>
          <w:iCs/>
          <w:sz w:val="24"/>
          <w:szCs w:val="24"/>
        </w:rPr>
        <w:t>».</w:t>
      </w:r>
      <w:r w:rsidR="00A81027" w:rsidRPr="00AC62C1">
        <w:rPr>
          <w:rFonts w:ascii="Bookman Old Style" w:eastAsiaTheme="minorHAnsi" w:hAnsi="Bookman Old Style"/>
          <w:b/>
          <w:bCs/>
          <w:sz w:val="24"/>
          <w:szCs w:val="24"/>
        </w:rPr>
        <w:t xml:space="preserve"> </w:t>
      </w:r>
    </w:p>
    <w:p w14:paraId="69ED3FE2" w14:textId="77777777" w:rsidR="00A12F16" w:rsidRPr="00AC62C1" w:rsidRDefault="00A12F16" w:rsidP="00F92684">
      <w:pPr>
        <w:spacing w:after="0"/>
        <w:jc w:val="both"/>
        <w:rPr>
          <w:rFonts w:ascii="Bookman Old Style" w:eastAsiaTheme="minorHAnsi" w:hAnsi="Bookman Old Style"/>
          <w:b/>
          <w:bCs/>
          <w:sz w:val="24"/>
          <w:szCs w:val="24"/>
        </w:rPr>
      </w:pPr>
    </w:p>
    <w:p w14:paraId="0F89CEAB" w14:textId="0BBBDB2C" w:rsidR="00D91732" w:rsidRPr="00AC62C1" w:rsidRDefault="00B66C95" w:rsidP="00264569">
      <w:pPr>
        <w:spacing w:after="0" w:line="360" w:lineRule="auto"/>
        <w:ind w:firstLine="709"/>
        <w:jc w:val="both"/>
        <w:rPr>
          <w:rFonts w:ascii="Bookman Old Style" w:eastAsiaTheme="minorHAnsi" w:hAnsi="Bookman Old Style"/>
          <w:sz w:val="28"/>
          <w:szCs w:val="28"/>
        </w:rPr>
      </w:pPr>
      <w:r w:rsidRPr="00AC62C1">
        <w:rPr>
          <w:rFonts w:ascii="Bookman Old Style" w:eastAsiaTheme="minorHAnsi" w:hAnsi="Bookman Old Style"/>
          <w:sz w:val="28"/>
          <w:szCs w:val="28"/>
        </w:rPr>
        <w:t xml:space="preserve">Siendo la modalidad de </w:t>
      </w:r>
      <w:r w:rsidRPr="00216231">
        <w:rPr>
          <w:rFonts w:ascii="Bookman Old Style" w:eastAsiaTheme="minorHAnsi" w:hAnsi="Bookman Old Style"/>
          <w:sz w:val="24"/>
          <w:szCs w:val="24"/>
        </w:rPr>
        <w:t>«</w:t>
      </w:r>
      <w:r w:rsidRPr="00216231">
        <w:rPr>
          <w:rFonts w:ascii="Bookman Old Style" w:eastAsiaTheme="minorHAnsi" w:hAnsi="Bookman Old Style"/>
          <w:i/>
          <w:iCs/>
          <w:sz w:val="24"/>
          <w:szCs w:val="24"/>
        </w:rPr>
        <w:t>ocho pagos</w:t>
      </w:r>
      <w:r w:rsidRPr="00216231">
        <w:rPr>
          <w:rFonts w:ascii="Bookman Old Style" w:eastAsiaTheme="minorHAnsi" w:hAnsi="Bookman Old Style"/>
          <w:sz w:val="24"/>
          <w:szCs w:val="24"/>
        </w:rPr>
        <w:t>»</w:t>
      </w:r>
      <w:r w:rsidRPr="00216231">
        <w:rPr>
          <w:rFonts w:ascii="Bookman Old Style" w:eastAsiaTheme="minorHAnsi" w:hAnsi="Bookman Old Style"/>
          <w:sz w:val="28"/>
          <w:szCs w:val="28"/>
        </w:rPr>
        <w:t xml:space="preserve"> </w:t>
      </w:r>
      <w:r w:rsidRPr="00AC62C1">
        <w:rPr>
          <w:rFonts w:ascii="Bookman Old Style" w:eastAsiaTheme="minorHAnsi" w:hAnsi="Bookman Old Style"/>
          <w:sz w:val="28"/>
          <w:szCs w:val="28"/>
        </w:rPr>
        <w:t xml:space="preserve">la escogida por el señor Aljure Caicedo, tal como se desprende de la solicitud para el seguro de vida renta dorada de ahorro con participación obrante a folio 4 del </w:t>
      </w:r>
      <w:r w:rsidR="00AC62C1" w:rsidRPr="00AC62C1">
        <w:rPr>
          <w:rFonts w:ascii="Bookman Old Style" w:eastAsiaTheme="minorHAnsi" w:hAnsi="Bookman Old Style"/>
          <w:sz w:val="28"/>
          <w:szCs w:val="28"/>
        </w:rPr>
        <w:t>c</w:t>
      </w:r>
      <w:r w:rsidRPr="00AC62C1">
        <w:rPr>
          <w:rFonts w:ascii="Bookman Old Style" w:eastAsiaTheme="minorHAnsi" w:hAnsi="Bookman Old Style"/>
          <w:sz w:val="28"/>
          <w:szCs w:val="28"/>
        </w:rPr>
        <w:t xml:space="preserve">uaderno </w:t>
      </w:r>
      <w:r w:rsidR="00F8574C" w:rsidRPr="00AC62C1">
        <w:rPr>
          <w:rFonts w:ascii="Bookman Old Style" w:eastAsiaTheme="minorHAnsi" w:hAnsi="Bookman Old Style"/>
          <w:sz w:val="28"/>
          <w:szCs w:val="28"/>
        </w:rPr>
        <w:t>p</w:t>
      </w:r>
      <w:r w:rsidRPr="00AC62C1">
        <w:rPr>
          <w:rFonts w:ascii="Bookman Old Style" w:eastAsiaTheme="minorHAnsi" w:hAnsi="Bookman Old Style"/>
          <w:sz w:val="28"/>
          <w:szCs w:val="28"/>
        </w:rPr>
        <w:t xml:space="preserve">rincipal. </w:t>
      </w:r>
      <w:r w:rsidR="002C1168">
        <w:rPr>
          <w:rFonts w:ascii="Bookman Old Style" w:eastAsiaTheme="minorHAnsi" w:hAnsi="Bookman Old Style"/>
          <w:sz w:val="28"/>
          <w:szCs w:val="28"/>
        </w:rPr>
        <w:t>D</w:t>
      </w:r>
      <w:r w:rsidR="00D91732" w:rsidRPr="00AC62C1">
        <w:rPr>
          <w:rFonts w:ascii="Bookman Old Style" w:eastAsiaTheme="minorHAnsi" w:hAnsi="Bookman Old Style"/>
          <w:sz w:val="28"/>
          <w:szCs w:val="28"/>
        </w:rPr>
        <w:t xml:space="preserve">e tales documentos se desprende que la obligación del tomador consistía, según el tipo de plan escogido, en pagar </w:t>
      </w:r>
      <w:r w:rsidR="00D91732" w:rsidRPr="00AC62C1">
        <w:rPr>
          <w:rFonts w:ascii="Bookman Old Style" w:eastAsiaTheme="minorHAnsi" w:hAnsi="Bookman Old Style"/>
          <w:sz w:val="24"/>
          <w:szCs w:val="24"/>
        </w:rPr>
        <w:t>«</w:t>
      </w:r>
      <w:r w:rsidR="00D91732" w:rsidRPr="00AC62C1">
        <w:rPr>
          <w:rFonts w:ascii="Bookman Old Style" w:eastAsiaTheme="minorHAnsi" w:hAnsi="Bookman Old Style"/>
          <w:i/>
          <w:iCs/>
          <w:sz w:val="24"/>
          <w:szCs w:val="24"/>
        </w:rPr>
        <w:t>primas por 8 años»</w:t>
      </w:r>
      <w:r w:rsidR="00D91732" w:rsidRPr="00AC62C1">
        <w:rPr>
          <w:rFonts w:ascii="Bookman Old Style" w:eastAsiaTheme="minorHAnsi" w:hAnsi="Bookman Old Style"/>
          <w:sz w:val="24"/>
          <w:szCs w:val="24"/>
        </w:rPr>
        <w:t>,</w:t>
      </w:r>
      <w:r w:rsidR="00D91732" w:rsidRPr="00AC62C1">
        <w:rPr>
          <w:rFonts w:ascii="Bookman Old Style" w:eastAsiaTheme="minorHAnsi" w:hAnsi="Bookman Old Style"/>
          <w:sz w:val="28"/>
          <w:szCs w:val="28"/>
        </w:rPr>
        <w:t xml:space="preserve"> con lo cual quedaría </w:t>
      </w:r>
      <w:r w:rsidR="00D91732" w:rsidRPr="00AC62C1">
        <w:rPr>
          <w:rFonts w:ascii="Bookman Old Style" w:eastAsiaTheme="minorHAnsi" w:hAnsi="Bookman Old Style"/>
          <w:sz w:val="24"/>
          <w:szCs w:val="24"/>
        </w:rPr>
        <w:t>«</w:t>
      </w:r>
      <w:r w:rsidR="00D91732" w:rsidRPr="00AC62C1">
        <w:rPr>
          <w:rFonts w:ascii="Bookman Old Style" w:eastAsiaTheme="minorHAnsi" w:hAnsi="Bookman Old Style"/>
          <w:i/>
          <w:iCs/>
          <w:sz w:val="24"/>
          <w:szCs w:val="24"/>
        </w:rPr>
        <w:t>asegurado hasta la edad de 80 años».</w:t>
      </w:r>
      <w:r w:rsidR="00D91732" w:rsidRPr="00AC62C1">
        <w:rPr>
          <w:rFonts w:ascii="Bookman Old Style" w:eastAsiaTheme="minorHAnsi" w:hAnsi="Bookman Old Style"/>
          <w:sz w:val="28"/>
          <w:szCs w:val="28"/>
        </w:rPr>
        <w:t xml:space="preserve"> De manera que, </w:t>
      </w:r>
      <w:r w:rsidR="00294E6C" w:rsidRPr="00AC62C1">
        <w:rPr>
          <w:rFonts w:ascii="Bookman Old Style" w:eastAsiaTheme="minorHAnsi" w:hAnsi="Bookman Old Style"/>
          <w:sz w:val="28"/>
          <w:szCs w:val="28"/>
        </w:rPr>
        <w:t xml:space="preserve">de </w:t>
      </w:r>
      <w:r w:rsidR="00A81027" w:rsidRPr="00AC62C1">
        <w:rPr>
          <w:rFonts w:ascii="Bookman Old Style" w:eastAsiaTheme="minorHAnsi" w:hAnsi="Bookman Old Style"/>
          <w:sz w:val="28"/>
          <w:szCs w:val="28"/>
        </w:rPr>
        <w:t>la redacción</w:t>
      </w:r>
      <w:r w:rsidR="00294E6C" w:rsidRPr="00AC62C1">
        <w:rPr>
          <w:rFonts w:ascii="Bookman Old Style" w:eastAsiaTheme="minorHAnsi" w:hAnsi="Bookman Old Style"/>
          <w:sz w:val="28"/>
          <w:szCs w:val="28"/>
        </w:rPr>
        <w:t xml:space="preserve"> de la</w:t>
      </w:r>
      <w:r w:rsidR="00A81027" w:rsidRPr="00AC62C1">
        <w:rPr>
          <w:rFonts w:ascii="Bookman Old Style" w:eastAsiaTheme="minorHAnsi" w:hAnsi="Bookman Old Style"/>
          <w:sz w:val="28"/>
          <w:szCs w:val="28"/>
        </w:rPr>
        <w:t xml:space="preserve"> cl</w:t>
      </w:r>
      <w:r w:rsidR="00CE0162" w:rsidRPr="00AC62C1">
        <w:rPr>
          <w:rFonts w:ascii="Bookman Old Style" w:eastAsiaTheme="minorHAnsi" w:hAnsi="Bookman Old Style"/>
          <w:sz w:val="28"/>
          <w:szCs w:val="28"/>
        </w:rPr>
        <w:t>á</w:t>
      </w:r>
      <w:r w:rsidR="00A81027" w:rsidRPr="00AC62C1">
        <w:rPr>
          <w:rFonts w:ascii="Bookman Old Style" w:eastAsiaTheme="minorHAnsi" w:hAnsi="Bookman Old Style"/>
          <w:sz w:val="28"/>
          <w:szCs w:val="28"/>
        </w:rPr>
        <w:t>usula</w:t>
      </w:r>
      <w:r w:rsidR="009952EC" w:rsidRPr="00AC62C1">
        <w:rPr>
          <w:rFonts w:ascii="Bookman Old Style" w:eastAsiaTheme="minorHAnsi" w:hAnsi="Bookman Old Style"/>
          <w:sz w:val="28"/>
          <w:szCs w:val="28"/>
        </w:rPr>
        <w:t xml:space="preserve"> y su literalidad, no es desaforado concluir que el pago de la prima en</w:t>
      </w:r>
      <w:r w:rsidR="00CE0162" w:rsidRPr="00AC62C1">
        <w:rPr>
          <w:rFonts w:ascii="Bookman Old Style" w:eastAsiaTheme="minorHAnsi" w:hAnsi="Bookman Old Style"/>
          <w:sz w:val="28"/>
          <w:szCs w:val="28"/>
        </w:rPr>
        <w:t xml:space="preserve"> ocho </w:t>
      </w:r>
      <w:r w:rsidR="009952EC" w:rsidRPr="00AC62C1">
        <w:rPr>
          <w:rFonts w:ascii="Bookman Old Style" w:eastAsiaTheme="minorHAnsi" w:hAnsi="Bookman Old Style"/>
          <w:sz w:val="28"/>
          <w:szCs w:val="28"/>
        </w:rPr>
        <w:t>instalamentos constituía la prestación debida del tomador</w:t>
      </w:r>
      <w:r w:rsidR="00D91732" w:rsidRPr="00AC62C1">
        <w:rPr>
          <w:rFonts w:ascii="Bookman Old Style" w:eastAsiaTheme="minorHAnsi" w:hAnsi="Bookman Old Style"/>
          <w:sz w:val="24"/>
          <w:szCs w:val="24"/>
        </w:rPr>
        <w:t xml:space="preserve">. </w:t>
      </w:r>
      <w:r w:rsidR="00D91732" w:rsidRPr="00AC62C1">
        <w:rPr>
          <w:rFonts w:ascii="Bookman Old Style" w:eastAsiaTheme="minorHAnsi" w:hAnsi="Bookman Old Style"/>
          <w:sz w:val="28"/>
          <w:szCs w:val="28"/>
        </w:rPr>
        <w:t>Pues así se describió que habría de cubrirse el plan escogido por el asegurado, en contraposición, por ejemplo, con el plan denominado «</w:t>
      </w:r>
      <w:r w:rsidR="00D91732" w:rsidRPr="00AC62C1">
        <w:rPr>
          <w:rFonts w:ascii="Bookman Old Style" w:eastAsiaTheme="minorHAnsi" w:hAnsi="Bookman Old Style"/>
          <w:i/>
          <w:iCs/>
          <w:sz w:val="28"/>
          <w:szCs w:val="28"/>
        </w:rPr>
        <w:t>pagos anuales</w:t>
      </w:r>
      <w:r w:rsidR="00D91732" w:rsidRPr="00AC62C1">
        <w:rPr>
          <w:rFonts w:ascii="Bookman Old Style" w:eastAsiaTheme="minorHAnsi" w:hAnsi="Bookman Old Style"/>
          <w:sz w:val="28"/>
          <w:szCs w:val="28"/>
        </w:rPr>
        <w:t>», según el cual «</w:t>
      </w:r>
      <w:r w:rsidR="00D91732" w:rsidRPr="00AC62C1">
        <w:rPr>
          <w:rFonts w:ascii="Bookman Old Style" w:eastAsiaTheme="minorHAnsi" w:hAnsi="Bookman Old Style"/>
          <w:i/>
          <w:iCs/>
          <w:sz w:val="24"/>
          <w:szCs w:val="24"/>
        </w:rPr>
        <w:t xml:space="preserve">El asegurado paga el valor de la prima año tras año </w:t>
      </w:r>
      <w:r w:rsidR="00D91732" w:rsidRPr="00AC62C1">
        <w:rPr>
          <w:rFonts w:ascii="Bookman Old Style" w:eastAsiaTheme="minorHAnsi" w:hAnsi="Bookman Old Style"/>
          <w:i/>
          <w:iCs/>
          <w:sz w:val="24"/>
          <w:szCs w:val="24"/>
          <w:u w:val="single"/>
        </w:rPr>
        <w:t>hasta la edad de 80 años</w:t>
      </w:r>
      <w:r w:rsidR="00D91732" w:rsidRPr="00AC62C1">
        <w:rPr>
          <w:rFonts w:ascii="Bookman Old Style" w:eastAsiaTheme="minorHAnsi" w:hAnsi="Bookman Old Style"/>
          <w:i/>
          <w:iCs/>
          <w:sz w:val="24"/>
          <w:szCs w:val="24"/>
        </w:rPr>
        <w:t>».</w:t>
      </w:r>
      <w:r w:rsidR="00D91732" w:rsidRPr="00AC62C1">
        <w:rPr>
          <w:rFonts w:ascii="Bookman Old Style" w:eastAsiaTheme="minorHAnsi" w:hAnsi="Bookman Old Style"/>
          <w:sz w:val="28"/>
          <w:szCs w:val="28"/>
        </w:rPr>
        <w:t xml:space="preserve"> </w:t>
      </w:r>
      <w:r w:rsidR="00D91732" w:rsidRPr="00AC62C1">
        <w:rPr>
          <w:rFonts w:ascii="Bookman Old Style" w:eastAsiaTheme="minorHAnsi" w:hAnsi="Bookman Old Style"/>
          <w:sz w:val="24"/>
          <w:szCs w:val="24"/>
        </w:rPr>
        <w:t xml:space="preserve"> </w:t>
      </w:r>
      <w:r w:rsidR="000F6C43" w:rsidRPr="00AC62C1">
        <w:rPr>
          <w:rFonts w:ascii="Bookman Old Style" w:eastAsiaTheme="minorHAnsi" w:hAnsi="Bookman Old Style"/>
          <w:sz w:val="28"/>
          <w:szCs w:val="28"/>
        </w:rPr>
        <w:t>A su turno,</w:t>
      </w:r>
      <w:r w:rsidR="00D91732" w:rsidRPr="00AC62C1">
        <w:rPr>
          <w:rFonts w:ascii="Bookman Old Style" w:eastAsiaTheme="minorHAnsi" w:hAnsi="Bookman Old Style"/>
          <w:sz w:val="28"/>
          <w:szCs w:val="28"/>
        </w:rPr>
        <w:t xml:space="preserve"> ni en la póliza ni en ningún otro documento contractual, se observa que el cumplimiento de tal obligación hubiera quedado sujeto a alguna condición relacionada con la variación de la rentabilidad proyectada </w:t>
      </w:r>
      <w:r w:rsidR="00D91732" w:rsidRPr="00AC62C1">
        <w:rPr>
          <w:rFonts w:ascii="Bookman Old Style" w:eastAsiaTheme="minorHAnsi" w:hAnsi="Bookman Old Style"/>
          <w:sz w:val="24"/>
          <w:szCs w:val="24"/>
        </w:rPr>
        <w:t>«</w:t>
      </w:r>
      <w:r w:rsidR="00D91732" w:rsidRPr="00AC62C1">
        <w:rPr>
          <w:rFonts w:ascii="Bookman Old Style" w:eastAsiaTheme="minorHAnsi" w:hAnsi="Bookman Old Style"/>
          <w:i/>
          <w:iCs/>
          <w:sz w:val="24"/>
          <w:szCs w:val="24"/>
        </w:rPr>
        <w:t>del fondo de protección que con dichos pagos se generaba</w:t>
      </w:r>
      <w:r w:rsidR="00D91732" w:rsidRPr="00AC62C1">
        <w:rPr>
          <w:rFonts w:ascii="Bookman Old Style" w:eastAsiaTheme="minorHAnsi" w:hAnsi="Bookman Old Style"/>
          <w:sz w:val="24"/>
          <w:szCs w:val="24"/>
        </w:rPr>
        <w:t>»</w:t>
      </w:r>
      <w:r w:rsidR="00D91732" w:rsidRPr="00AC62C1">
        <w:rPr>
          <w:rFonts w:ascii="Bookman Old Style" w:eastAsiaTheme="minorHAnsi" w:hAnsi="Bookman Old Style"/>
          <w:sz w:val="28"/>
          <w:szCs w:val="28"/>
        </w:rPr>
        <w:t xml:space="preserve">. De manera que aquella consideración que esboza el casacionista no es más que una apreciación subjetiva del contrato.  </w:t>
      </w:r>
    </w:p>
    <w:p w14:paraId="6E1A861C" w14:textId="403E18DF" w:rsidR="001D4C45" w:rsidRPr="00AC62C1" w:rsidRDefault="001D4C45" w:rsidP="00F92684">
      <w:pPr>
        <w:spacing w:after="0"/>
        <w:jc w:val="both"/>
        <w:rPr>
          <w:rFonts w:ascii="Bookman Old Style" w:hAnsi="Bookman Old Style" w:cs="Bookman Old Style"/>
          <w:sz w:val="28"/>
          <w:szCs w:val="28"/>
          <w:lang w:eastAsia="es-CO"/>
        </w:rPr>
      </w:pPr>
    </w:p>
    <w:p w14:paraId="08904681" w14:textId="77777777" w:rsidR="00F82978" w:rsidRPr="00AC62C1" w:rsidRDefault="00F82978" w:rsidP="00F92684">
      <w:pPr>
        <w:spacing w:after="0" w:line="360" w:lineRule="auto"/>
        <w:ind w:firstLine="709"/>
        <w:jc w:val="both"/>
        <w:rPr>
          <w:rFonts w:ascii="Bookman Old Style" w:hAnsi="Bookman Old Style" w:cs="Bookman Old Style"/>
          <w:sz w:val="28"/>
          <w:szCs w:val="28"/>
          <w:lang w:eastAsia="es-CO"/>
        </w:rPr>
      </w:pPr>
      <w:r w:rsidRPr="00AC62C1">
        <w:rPr>
          <w:rFonts w:ascii="Bookman Old Style" w:hAnsi="Bookman Old Style" w:cs="Bookman Old Style"/>
          <w:sz w:val="28"/>
          <w:szCs w:val="28"/>
          <w:lang w:eastAsia="es-CO"/>
        </w:rPr>
        <w:t xml:space="preserve">Y es que, al fijar la atención en la cláusula 6 de las condiciones generales, se advierte que esta refiere a los </w:t>
      </w:r>
      <w:r w:rsidRPr="00216231">
        <w:rPr>
          <w:rFonts w:ascii="Bookman Old Style" w:hAnsi="Bookman Old Style" w:cs="Bookman Old Style"/>
          <w:sz w:val="24"/>
          <w:szCs w:val="24"/>
          <w:lang w:eastAsia="es-CO"/>
        </w:rPr>
        <w:t>«</w:t>
      </w:r>
      <w:r w:rsidRPr="00216231">
        <w:rPr>
          <w:rFonts w:ascii="Bookman Old Style" w:hAnsi="Bookman Old Style" w:cs="Bookman Old Style"/>
          <w:i/>
          <w:iCs/>
          <w:sz w:val="24"/>
          <w:szCs w:val="24"/>
          <w:lang w:eastAsia="es-CO"/>
        </w:rPr>
        <w:t>valores de cesión o de rescate</w:t>
      </w:r>
      <w:r w:rsidRPr="00216231">
        <w:rPr>
          <w:rFonts w:ascii="Bookman Old Style" w:hAnsi="Bookman Old Style" w:cs="Bookman Old Style"/>
          <w:sz w:val="24"/>
          <w:szCs w:val="24"/>
          <w:lang w:eastAsia="es-CO"/>
        </w:rPr>
        <w:t>».</w:t>
      </w:r>
      <w:r w:rsidRPr="00216231">
        <w:rPr>
          <w:rFonts w:ascii="Bookman Old Style" w:hAnsi="Bookman Old Style" w:cs="Bookman Old Style"/>
          <w:sz w:val="28"/>
          <w:szCs w:val="28"/>
          <w:lang w:eastAsia="es-CO"/>
        </w:rPr>
        <w:t xml:space="preserve"> </w:t>
      </w:r>
      <w:r w:rsidRPr="00AC62C1">
        <w:rPr>
          <w:rFonts w:ascii="Bookman Old Style" w:hAnsi="Bookman Old Style" w:cs="Bookman Old Style"/>
          <w:sz w:val="28"/>
          <w:szCs w:val="28"/>
          <w:lang w:eastAsia="es-CO"/>
        </w:rPr>
        <w:t>A su turno, el apartado 6.2. indica que:</w:t>
      </w:r>
    </w:p>
    <w:p w14:paraId="2B976AA8" w14:textId="77777777" w:rsidR="00F82978" w:rsidRPr="00AC62C1" w:rsidRDefault="00F82978" w:rsidP="00F92684">
      <w:pPr>
        <w:spacing w:after="0" w:line="360" w:lineRule="auto"/>
        <w:ind w:firstLine="709"/>
        <w:jc w:val="both"/>
        <w:rPr>
          <w:rFonts w:ascii="Bookman Old Style" w:hAnsi="Bookman Old Style" w:cs="Bookman Old Style"/>
          <w:sz w:val="28"/>
          <w:szCs w:val="28"/>
          <w:lang w:eastAsia="es-CO"/>
        </w:rPr>
      </w:pPr>
    </w:p>
    <w:p w14:paraId="2F097F76" w14:textId="77777777" w:rsidR="00F82978" w:rsidRPr="00AC62C1" w:rsidRDefault="00F82978" w:rsidP="00F92684">
      <w:pPr>
        <w:spacing w:after="0"/>
        <w:ind w:left="709"/>
        <w:jc w:val="both"/>
        <w:rPr>
          <w:rFonts w:ascii="Bookman Old Style" w:hAnsi="Bookman Old Style"/>
          <w:i/>
          <w:iCs/>
          <w:sz w:val="24"/>
          <w:szCs w:val="24"/>
        </w:rPr>
      </w:pPr>
      <w:r w:rsidRPr="00AC62C1">
        <w:rPr>
          <w:rFonts w:ascii="Bookman Old Style" w:hAnsi="Bookman Old Style" w:cs="Bookman Old Style"/>
          <w:sz w:val="28"/>
          <w:szCs w:val="28"/>
          <w:lang w:eastAsia="es-CO"/>
        </w:rPr>
        <w:lastRenderedPageBreak/>
        <w:t>«</w:t>
      </w:r>
      <w:r w:rsidRPr="00AC62C1">
        <w:rPr>
          <w:rFonts w:ascii="Bookman Old Style" w:hAnsi="Bookman Old Style"/>
          <w:i/>
          <w:iCs/>
          <w:sz w:val="24"/>
          <w:szCs w:val="24"/>
        </w:rPr>
        <w:t xml:space="preserve">Renovación Automática: </w:t>
      </w:r>
      <w:r w:rsidRPr="00AC62C1">
        <w:rPr>
          <w:rFonts w:ascii="Bookman Old Style" w:hAnsi="Bookman Old Style"/>
          <w:b/>
          <w:bCs/>
          <w:i/>
          <w:iCs/>
          <w:sz w:val="24"/>
          <w:szCs w:val="24"/>
        </w:rPr>
        <w:t>Si el tomador o Asegurado no pagare la prima de protección, oportunamente,</w:t>
      </w:r>
      <w:r w:rsidRPr="00AC62C1">
        <w:rPr>
          <w:rFonts w:ascii="Bookman Old Style" w:hAnsi="Bookman Old Style"/>
          <w:i/>
          <w:iCs/>
          <w:sz w:val="24"/>
          <w:szCs w:val="24"/>
        </w:rPr>
        <w:t xml:space="preserve"> SEGUROS FENIX DE VIDAS.A. la pagara con cargo al valor de cesión o de rescate disponible que la póliza tenga acreditado en dicha fecha.  </w:t>
      </w:r>
    </w:p>
    <w:p w14:paraId="2CBBB20D" w14:textId="77777777" w:rsidR="00F82978" w:rsidRPr="00AC62C1" w:rsidRDefault="00F82978" w:rsidP="00F92684">
      <w:pPr>
        <w:spacing w:after="0"/>
        <w:ind w:left="709"/>
        <w:jc w:val="both"/>
        <w:rPr>
          <w:rFonts w:ascii="Bookman Old Style" w:hAnsi="Bookman Old Style"/>
          <w:i/>
          <w:iCs/>
          <w:sz w:val="24"/>
          <w:szCs w:val="24"/>
        </w:rPr>
      </w:pPr>
    </w:p>
    <w:p w14:paraId="75033634" w14:textId="075555C9" w:rsidR="00F82978" w:rsidRPr="00F82978" w:rsidRDefault="00F82978" w:rsidP="00F92684">
      <w:pPr>
        <w:spacing w:after="0"/>
        <w:ind w:left="709"/>
        <w:jc w:val="both"/>
        <w:rPr>
          <w:rFonts w:ascii="Bookman Old Style" w:hAnsi="Bookman Old Style" w:cs="Bookman Old Style"/>
          <w:sz w:val="28"/>
          <w:szCs w:val="28"/>
          <w:lang w:eastAsia="es-CO"/>
        </w:rPr>
      </w:pPr>
      <w:r w:rsidRPr="00AC62C1">
        <w:rPr>
          <w:rFonts w:ascii="Bookman Old Style" w:hAnsi="Bookman Old Style"/>
          <w:b/>
          <w:bCs/>
          <w:i/>
          <w:iCs/>
          <w:sz w:val="24"/>
          <w:szCs w:val="24"/>
        </w:rPr>
        <w:t>Si el valor de rescate disponible no alcanzare a cubrir la prima, automáticamente por un periodo de tiempo proporcional a ese valor de rescate disponible y, una vez transcurrido ese periodo, el Seguro terminar</w:t>
      </w:r>
      <w:r w:rsidR="00ED5A45">
        <w:rPr>
          <w:rFonts w:ascii="Bookman Old Style" w:hAnsi="Bookman Old Style"/>
          <w:b/>
          <w:bCs/>
          <w:i/>
          <w:iCs/>
          <w:sz w:val="24"/>
          <w:szCs w:val="24"/>
        </w:rPr>
        <w:t>á</w:t>
      </w:r>
      <w:r w:rsidRPr="00AC62C1">
        <w:rPr>
          <w:rFonts w:ascii="Bookman Old Style" w:hAnsi="Bookman Old Style"/>
          <w:i/>
          <w:iCs/>
          <w:sz w:val="24"/>
          <w:szCs w:val="24"/>
        </w:rPr>
        <w:t>»</w:t>
      </w:r>
      <w:r w:rsidR="00F14DEF" w:rsidRPr="00AC62C1">
        <w:rPr>
          <w:rStyle w:val="Refdenotaalpie"/>
          <w:rFonts w:ascii="Bookman Old Style" w:hAnsi="Bookman Old Style"/>
          <w:sz w:val="24"/>
          <w:szCs w:val="24"/>
        </w:rPr>
        <w:footnoteReference w:id="29"/>
      </w:r>
      <w:r w:rsidRPr="00AC62C1">
        <w:rPr>
          <w:rFonts w:ascii="Bookman Old Style" w:hAnsi="Bookman Old Style"/>
          <w:sz w:val="24"/>
          <w:szCs w:val="24"/>
        </w:rPr>
        <w:t>.</w:t>
      </w:r>
    </w:p>
    <w:p w14:paraId="1179A027" w14:textId="37AA736A" w:rsidR="00F82978" w:rsidRDefault="00F82978" w:rsidP="00F92684">
      <w:pPr>
        <w:spacing w:after="0" w:line="360" w:lineRule="auto"/>
        <w:ind w:firstLine="709"/>
        <w:jc w:val="both"/>
        <w:rPr>
          <w:rFonts w:ascii="Bookman Old Style" w:hAnsi="Bookman Old Style" w:cs="Bookman Old Style"/>
          <w:sz w:val="28"/>
          <w:szCs w:val="28"/>
          <w:lang w:eastAsia="es-CO"/>
        </w:rPr>
      </w:pPr>
    </w:p>
    <w:p w14:paraId="5D4B513D" w14:textId="1DDCDFC0" w:rsidR="00F82978" w:rsidRPr="006E2494" w:rsidRDefault="00F82978" w:rsidP="0042115D">
      <w:pPr>
        <w:spacing w:after="0" w:line="360" w:lineRule="auto"/>
        <w:ind w:firstLine="709"/>
        <w:jc w:val="both"/>
        <w:rPr>
          <w:rFonts w:ascii="Bookman Old Style" w:hAnsi="Bookman Old Style" w:cs="Bookman Old Style"/>
          <w:sz w:val="28"/>
          <w:szCs w:val="28"/>
          <w:lang w:eastAsia="es-CO"/>
        </w:rPr>
      </w:pPr>
      <w:r>
        <w:rPr>
          <w:rFonts w:ascii="Bookman Old Style" w:hAnsi="Bookman Old Style" w:cs="Bookman Old Style"/>
          <w:sz w:val="28"/>
          <w:szCs w:val="28"/>
          <w:lang w:eastAsia="es-CO"/>
        </w:rPr>
        <w:t xml:space="preserve">Véase que, tal como lo advirtió el </w:t>
      </w:r>
      <w:r>
        <w:rPr>
          <w:rFonts w:ascii="Bookman Old Style" w:hAnsi="Bookman Old Style" w:cs="Bookman Old Style"/>
          <w:i/>
          <w:iCs/>
          <w:sz w:val="28"/>
          <w:szCs w:val="28"/>
          <w:lang w:eastAsia="es-CO"/>
        </w:rPr>
        <w:t>ad quem</w:t>
      </w:r>
      <w:r>
        <w:rPr>
          <w:rFonts w:ascii="Bookman Old Style" w:hAnsi="Bookman Old Style" w:cs="Bookman Old Style"/>
          <w:sz w:val="28"/>
          <w:szCs w:val="28"/>
          <w:lang w:eastAsia="es-CO"/>
        </w:rPr>
        <w:t xml:space="preserve">, por ningún lado el negocio jurídico pactado hace alusión a que con la suma que se pagaría por concepto de primas se constituiría un fondo a partir del cual -según una proyección del 24% anual de rendimiento- se sufragarían las primas que presuntamente se causarían </w:t>
      </w:r>
      <w:r w:rsidR="0040007E">
        <w:rPr>
          <w:rFonts w:ascii="Bookman Old Style" w:hAnsi="Bookman Old Style" w:cs="Bookman Old Style"/>
          <w:sz w:val="28"/>
          <w:szCs w:val="28"/>
          <w:lang w:eastAsia="es-CO"/>
        </w:rPr>
        <w:t>después de</w:t>
      </w:r>
      <w:r>
        <w:rPr>
          <w:rFonts w:ascii="Bookman Old Style" w:hAnsi="Bookman Old Style" w:cs="Bookman Old Style"/>
          <w:sz w:val="28"/>
          <w:szCs w:val="28"/>
          <w:lang w:eastAsia="es-CO"/>
        </w:rPr>
        <w:t xml:space="preserve"> los primeros ocho años, para mantener el seguro de vida hasta los 80 años.</w:t>
      </w:r>
      <w:r w:rsidR="0042115D">
        <w:rPr>
          <w:rFonts w:ascii="Bookman Old Style" w:hAnsi="Bookman Old Style" w:cs="Bookman Old Style"/>
          <w:sz w:val="28"/>
          <w:szCs w:val="28"/>
          <w:lang w:eastAsia="es-CO"/>
        </w:rPr>
        <w:t xml:space="preserve"> </w:t>
      </w:r>
      <w:r>
        <w:rPr>
          <w:rFonts w:ascii="Bookman Old Style" w:hAnsi="Bookman Old Style" w:cs="Bookman Old Style"/>
          <w:sz w:val="28"/>
          <w:szCs w:val="28"/>
          <w:lang w:eastAsia="es-CO"/>
        </w:rPr>
        <w:t xml:space="preserve">Por el contrario, lo que de la disposición emerge es que esta se trata de un supuesto </w:t>
      </w:r>
      <w:r w:rsidRPr="00BD677A">
        <w:rPr>
          <w:rFonts w:ascii="Bookman Old Style" w:hAnsi="Bookman Old Style"/>
          <w:sz w:val="28"/>
          <w:szCs w:val="28"/>
        </w:rPr>
        <w:t>previsto para prolongar la vigencia del contrato de seguro</w:t>
      </w:r>
      <w:r>
        <w:rPr>
          <w:rFonts w:ascii="Bookman Old Style" w:hAnsi="Bookman Old Style"/>
          <w:sz w:val="28"/>
          <w:szCs w:val="28"/>
        </w:rPr>
        <w:t xml:space="preserve"> en caso de incumplimiento del tomador</w:t>
      </w:r>
      <w:r w:rsidR="00600707">
        <w:rPr>
          <w:rStyle w:val="Refdenotaalpie"/>
          <w:rFonts w:ascii="Bookman Old Style" w:hAnsi="Bookman Old Style"/>
          <w:sz w:val="28"/>
          <w:szCs w:val="28"/>
        </w:rPr>
        <w:footnoteReference w:id="30"/>
      </w:r>
      <w:r w:rsidRPr="00BD677A">
        <w:rPr>
          <w:rFonts w:ascii="Bookman Old Style" w:hAnsi="Bookman Old Style"/>
          <w:sz w:val="28"/>
          <w:szCs w:val="28"/>
        </w:rPr>
        <w:t>. En tanto</w:t>
      </w:r>
      <w:r>
        <w:rPr>
          <w:rFonts w:ascii="Bookman Old Style" w:hAnsi="Bookman Old Style"/>
          <w:sz w:val="28"/>
          <w:szCs w:val="28"/>
        </w:rPr>
        <w:t xml:space="preserve"> que</w:t>
      </w:r>
      <w:r w:rsidRPr="00BD677A">
        <w:rPr>
          <w:rFonts w:ascii="Bookman Old Style" w:hAnsi="Bookman Old Style"/>
          <w:sz w:val="28"/>
          <w:szCs w:val="28"/>
        </w:rPr>
        <w:t xml:space="preserve"> el retraso en el pago de una prima no produce</w:t>
      </w:r>
      <w:r>
        <w:rPr>
          <w:rFonts w:ascii="Bookman Old Style" w:hAnsi="Bookman Old Style"/>
          <w:sz w:val="28"/>
          <w:szCs w:val="28"/>
        </w:rPr>
        <w:t xml:space="preserve"> </w:t>
      </w:r>
      <w:r>
        <w:rPr>
          <w:rFonts w:ascii="Bookman Old Style" w:hAnsi="Bookman Old Style"/>
          <w:i/>
          <w:iCs/>
          <w:sz w:val="28"/>
          <w:szCs w:val="28"/>
        </w:rPr>
        <w:t>per se</w:t>
      </w:r>
      <w:r w:rsidRPr="00BD677A">
        <w:rPr>
          <w:rFonts w:ascii="Bookman Old Style" w:hAnsi="Bookman Old Style"/>
          <w:sz w:val="28"/>
          <w:szCs w:val="28"/>
        </w:rPr>
        <w:t xml:space="preserve"> la terminación del contrato, si existe el valor de rescate. De allí que el artículo 1153 del Código de Comercio indique</w:t>
      </w:r>
      <w:r>
        <w:rPr>
          <w:rFonts w:ascii="Bookman Old Style" w:hAnsi="Bookman Old Style"/>
          <w:sz w:val="28"/>
          <w:szCs w:val="28"/>
        </w:rPr>
        <w:t xml:space="preserve"> que</w:t>
      </w:r>
      <w:r w:rsidRPr="00BD677A">
        <w:rPr>
          <w:rFonts w:ascii="Bookman Old Style" w:hAnsi="Bookman Old Style"/>
          <w:sz w:val="28"/>
          <w:szCs w:val="28"/>
        </w:rPr>
        <w:t>:</w:t>
      </w:r>
      <w:r w:rsidRPr="00142758">
        <w:rPr>
          <w:rFonts w:ascii="Bookman Old Style" w:eastAsia="Times New Roman" w:hAnsi="Bookman Old Style" w:cs="Open Sans"/>
          <w:i/>
          <w:iCs/>
          <w:color w:val="000000" w:themeColor="text1"/>
          <w:sz w:val="28"/>
          <w:szCs w:val="28"/>
          <w:lang w:eastAsia="es-MX"/>
        </w:rPr>
        <w:t> </w:t>
      </w:r>
      <w:r w:rsidRPr="00AC62C1">
        <w:rPr>
          <w:rFonts w:ascii="Bookman Old Style" w:eastAsia="Times New Roman" w:hAnsi="Bookman Old Style" w:cs="Open Sans"/>
          <w:i/>
          <w:iCs/>
          <w:sz w:val="24"/>
          <w:szCs w:val="24"/>
          <w:lang w:eastAsia="es-MX"/>
        </w:rPr>
        <w:t>«</w:t>
      </w:r>
      <w:r w:rsidR="002E100A" w:rsidRPr="00AC62C1">
        <w:rPr>
          <w:rFonts w:ascii="Bookman Old Style" w:eastAsia="Times New Roman" w:hAnsi="Bookman Old Style" w:cs="Open Sans"/>
          <w:sz w:val="24"/>
          <w:szCs w:val="24"/>
          <w:lang w:eastAsia="es-MX"/>
        </w:rPr>
        <w:t>[e]</w:t>
      </w:r>
      <w:r w:rsidRPr="00AC62C1">
        <w:rPr>
          <w:rFonts w:ascii="Bookman Old Style" w:eastAsia="Times New Roman" w:hAnsi="Bookman Old Style" w:cs="Open Sans"/>
          <w:i/>
          <w:iCs/>
          <w:sz w:val="24"/>
          <w:szCs w:val="24"/>
          <w:lang w:eastAsia="es-MX"/>
        </w:rPr>
        <w:t xml:space="preserve">l </w:t>
      </w:r>
      <w:r w:rsidRPr="00600707">
        <w:rPr>
          <w:rFonts w:ascii="Bookman Old Style" w:eastAsia="Times New Roman" w:hAnsi="Bookman Old Style" w:cs="Open Sans"/>
          <w:i/>
          <w:iCs/>
          <w:color w:val="000000" w:themeColor="text1"/>
          <w:sz w:val="24"/>
          <w:szCs w:val="24"/>
          <w:lang w:eastAsia="es-MX"/>
        </w:rPr>
        <w:t>seguro de vida no se entenderá terminado una vez que hayan sido cubiertas las primas correspondientes a los dos primeros años de su vigencia</w:t>
      </w:r>
      <w:r w:rsidRPr="00142758">
        <w:rPr>
          <w:rFonts w:ascii="Bookman Old Style" w:eastAsia="Times New Roman" w:hAnsi="Bookman Old Style" w:cs="Open Sans"/>
          <w:i/>
          <w:iCs/>
          <w:color w:val="000000" w:themeColor="text1"/>
          <w:sz w:val="24"/>
          <w:szCs w:val="24"/>
          <w:lang w:eastAsia="es-MX"/>
        </w:rPr>
        <w:t xml:space="preserve">, </w:t>
      </w:r>
      <w:r w:rsidRPr="00600707">
        <w:rPr>
          <w:rFonts w:ascii="Bookman Old Style" w:eastAsia="Times New Roman" w:hAnsi="Bookman Old Style" w:cs="Open Sans"/>
          <w:b/>
          <w:bCs/>
          <w:i/>
          <w:iCs/>
          <w:color w:val="000000" w:themeColor="text1"/>
          <w:sz w:val="24"/>
          <w:szCs w:val="24"/>
          <w:lang w:eastAsia="es-MX"/>
        </w:rPr>
        <w:t>sino cuando el valor de las primas atrasadas y el de los préstamos efectuados con sus intereses, excedan del valor de cesión o rescate</w:t>
      </w:r>
      <w:r w:rsidR="00F14DEF">
        <w:rPr>
          <w:rFonts w:ascii="Bookman Old Style" w:eastAsia="Times New Roman" w:hAnsi="Bookman Old Style" w:cs="Open Sans"/>
          <w:i/>
          <w:iCs/>
          <w:color w:val="000000" w:themeColor="text1"/>
          <w:sz w:val="24"/>
          <w:szCs w:val="24"/>
          <w:lang w:eastAsia="es-MX"/>
        </w:rPr>
        <w:t xml:space="preserve"> </w:t>
      </w:r>
      <w:r w:rsidRPr="00BD677A">
        <w:rPr>
          <w:rFonts w:ascii="Bookman Old Style" w:eastAsia="Times New Roman" w:hAnsi="Bookman Old Style" w:cs="Open Sans"/>
          <w:i/>
          <w:iCs/>
          <w:color w:val="000000" w:themeColor="text1"/>
          <w:sz w:val="24"/>
          <w:szCs w:val="24"/>
          <w:lang w:eastAsia="es-MX"/>
        </w:rPr>
        <w:t>(...)</w:t>
      </w:r>
      <w:r w:rsidR="00F14DEF">
        <w:rPr>
          <w:rFonts w:ascii="Bookman Old Style" w:hAnsi="Bookman Old Style" w:cs="Bookman Old Style"/>
          <w:i/>
          <w:iCs/>
          <w:sz w:val="28"/>
          <w:szCs w:val="28"/>
          <w:lang w:eastAsia="es-CO"/>
        </w:rPr>
        <w:t>»</w:t>
      </w:r>
      <w:r w:rsidR="00F14DEF">
        <w:rPr>
          <w:rFonts w:ascii="Bookman Old Style" w:hAnsi="Bookman Old Style" w:cs="Bookman Old Style"/>
          <w:i/>
          <w:iCs/>
          <w:color w:val="FF0000"/>
          <w:sz w:val="28"/>
          <w:szCs w:val="28"/>
          <w:lang w:eastAsia="es-CO"/>
        </w:rPr>
        <w:t xml:space="preserve"> </w:t>
      </w:r>
      <w:r w:rsidR="00F14DEF" w:rsidRPr="00A17175">
        <w:rPr>
          <w:rFonts w:ascii="Bookman Old Style" w:hAnsi="Bookman Old Style" w:cs="Bookman Old Style"/>
          <w:sz w:val="28"/>
          <w:szCs w:val="28"/>
          <w:lang w:eastAsia="es-CO"/>
        </w:rPr>
        <w:t>(destaca</w:t>
      </w:r>
      <w:r w:rsidR="00A17175" w:rsidRPr="00A17175">
        <w:rPr>
          <w:rFonts w:ascii="Bookman Old Style" w:hAnsi="Bookman Old Style" w:cs="Bookman Old Style"/>
          <w:sz w:val="28"/>
          <w:szCs w:val="28"/>
          <w:lang w:eastAsia="es-CO"/>
        </w:rPr>
        <w:t>do propio</w:t>
      </w:r>
      <w:r w:rsidR="00F14DEF" w:rsidRPr="00A17175">
        <w:rPr>
          <w:rFonts w:ascii="Bookman Old Style" w:hAnsi="Bookman Old Style" w:cs="Bookman Old Style"/>
          <w:sz w:val="28"/>
          <w:szCs w:val="28"/>
          <w:lang w:eastAsia="es-CO"/>
        </w:rPr>
        <w:t>).</w:t>
      </w:r>
      <w:r w:rsidR="00F14DEF" w:rsidRPr="00A17175">
        <w:rPr>
          <w:rFonts w:ascii="Bookman Old Style" w:hAnsi="Bookman Old Style" w:cs="Bookman Old Style"/>
          <w:i/>
          <w:iCs/>
          <w:sz w:val="28"/>
          <w:szCs w:val="28"/>
          <w:lang w:eastAsia="es-CO"/>
        </w:rPr>
        <w:t xml:space="preserve"> </w:t>
      </w:r>
      <w:r>
        <w:rPr>
          <w:rFonts w:ascii="Bookman Old Style" w:hAnsi="Bookman Old Style" w:cs="Bookman Old Style"/>
          <w:sz w:val="28"/>
          <w:szCs w:val="28"/>
          <w:lang w:eastAsia="es-CO"/>
        </w:rPr>
        <w:t>Por ende</w:t>
      </w:r>
      <w:r w:rsidR="00A42FF8" w:rsidRPr="00BD677A">
        <w:rPr>
          <w:rFonts w:ascii="Bookman Old Style" w:hAnsi="Bookman Old Style" w:cs="Bookman Old Style"/>
          <w:sz w:val="28"/>
          <w:szCs w:val="28"/>
          <w:lang w:eastAsia="es-CO"/>
        </w:rPr>
        <w:t xml:space="preserve">, </w:t>
      </w:r>
      <w:r w:rsidR="00606DB2">
        <w:rPr>
          <w:rFonts w:ascii="Bookman Old Style" w:hAnsi="Bookman Old Style" w:cs="Bookman Old Style"/>
          <w:sz w:val="28"/>
          <w:szCs w:val="28"/>
          <w:lang w:eastAsia="es-CO"/>
        </w:rPr>
        <w:t>no</w:t>
      </w:r>
      <w:r w:rsidR="00A42FF8" w:rsidRPr="00BD677A">
        <w:rPr>
          <w:rFonts w:ascii="Bookman Old Style" w:hAnsi="Bookman Old Style" w:cs="Bookman Old Style"/>
          <w:sz w:val="28"/>
          <w:szCs w:val="28"/>
          <w:lang w:eastAsia="es-CO"/>
        </w:rPr>
        <w:t xml:space="preserve"> resulta absurdo que el </w:t>
      </w:r>
      <w:r w:rsidRPr="00221308">
        <w:rPr>
          <w:rFonts w:ascii="Bookman Old Style" w:hAnsi="Bookman Old Style" w:cs="Bookman Old Style"/>
          <w:sz w:val="28"/>
          <w:szCs w:val="28"/>
          <w:lang w:eastAsia="es-CO"/>
        </w:rPr>
        <w:t>T</w:t>
      </w:r>
      <w:r w:rsidR="00A42FF8" w:rsidRPr="00221308">
        <w:rPr>
          <w:rFonts w:ascii="Bookman Old Style" w:hAnsi="Bookman Old Style" w:cs="Bookman Old Style"/>
          <w:sz w:val="28"/>
          <w:szCs w:val="28"/>
          <w:lang w:eastAsia="es-CO"/>
        </w:rPr>
        <w:t>ribunal haya</w:t>
      </w:r>
      <w:r w:rsidR="00A42FF8" w:rsidRPr="00BD677A">
        <w:rPr>
          <w:rFonts w:ascii="Bookman Old Style" w:hAnsi="Bookman Old Style" w:cs="Bookman Old Style"/>
          <w:sz w:val="28"/>
          <w:szCs w:val="28"/>
          <w:lang w:eastAsia="es-CO"/>
        </w:rPr>
        <w:t xml:space="preserve"> considerado</w:t>
      </w:r>
      <w:r w:rsidR="00606DB2">
        <w:rPr>
          <w:rFonts w:ascii="Bookman Old Style" w:hAnsi="Bookman Old Style" w:cs="Bookman Old Style"/>
          <w:sz w:val="28"/>
          <w:szCs w:val="28"/>
          <w:lang w:eastAsia="es-CO"/>
        </w:rPr>
        <w:t>,</w:t>
      </w:r>
      <w:r w:rsidR="00A42FF8" w:rsidRPr="00BD677A">
        <w:rPr>
          <w:rFonts w:ascii="Bookman Old Style" w:hAnsi="Bookman Old Style" w:cs="Bookman Old Style"/>
          <w:sz w:val="28"/>
          <w:szCs w:val="28"/>
          <w:lang w:eastAsia="es-CO"/>
        </w:rPr>
        <w:t xml:space="preserve"> a la luz del instrumento contractual</w:t>
      </w:r>
      <w:r w:rsidR="00606DB2">
        <w:rPr>
          <w:rFonts w:ascii="Bookman Old Style" w:hAnsi="Bookman Old Style" w:cs="Bookman Old Style"/>
          <w:sz w:val="28"/>
          <w:szCs w:val="28"/>
          <w:lang w:eastAsia="es-CO"/>
        </w:rPr>
        <w:t>,</w:t>
      </w:r>
      <w:r w:rsidR="00A42FF8" w:rsidRPr="00BD677A">
        <w:rPr>
          <w:rFonts w:ascii="Bookman Old Style" w:hAnsi="Bookman Old Style" w:cs="Bookman Old Style"/>
          <w:sz w:val="28"/>
          <w:szCs w:val="28"/>
          <w:lang w:eastAsia="es-CO"/>
        </w:rPr>
        <w:t xml:space="preserve"> </w:t>
      </w:r>
      <w:r w:rsidR="00A42FF8" w:rsidRPr="00AC62C1">
        <w:rPr>
          <w:rFonts w:ascii="Bookman Old Style" w:hAnsi="Bookman Old Style" w:cs="Bookman Old Style"/>
          <w:sz w:val="28"/>
          <w:szCs w:val="28"/>
          <w:lang w:eastAsia="es-CO"/>
        </w:rPr>
        <w:t>que</w:t>
      </w:r>
      <w:r w:rsidR="00A42FF8" w:rsidRPr="00AC62C1">
        <w:rPr>
          <w:rFonts w:ascii="Bookman Old Style" w:hAnsi="Bookman Old Style" w:cs="Bookman Old Style"/>
          <w:i/>
          <w:iCs/>
          <w:sz w:val="24"/>
          <w:szCs w:val="24"/>
          <w:lang w:eastAsia="es-CO"/>
        </w:rPr>
        <w:t xml:space="preserve"> </w:t>
      </w:r>
      <w:r w:rsidR="00606DB2" w:rsidRPr="00AC62C1">
        <w:rPr>
          <w:rFonts w:ascii="Bookman Old Style" w:hAnsi="Bookman Old Style" w:cs="Bookman Old Style"/>
          <w:i/>
          <w:iCs/>
          <w:sz w:val="24"/>
          <w:szCs w:val="24"/>
          <w:lang w:eastAsia="es-CO"/>
        </w:rPr>
        <w:t>«</w:t>
      </w:r>
      <w:r w:rsidR="00A42FF8" w:rsidRPr="00AC62C1">
        <w:rPr>
          <w:rFonts w:ascii="Bookman Old Style" w:hAnsi="Bookman Old Style" w:cs="Bookman Old Style"/>
          <w:i/>
          <w:iCs/>
          <w:sz w:val="24"/>
          <w:szCs w:val="24"/>
          <w:lang w:eastAsia="es-CO"/>
        </w:rPr>
        <w:t>la aseguradora no estaba autorizada para aplicar la cláusula 6.2.</w:t>
      </w:r>
      <w:r w:rsidR="00606DB2" w:rsidRPr="00AC62C1">
        <w:rPr>
          <w:rFonts w:ascii="Bookman Old Style" w:hAnsi="Bookman Old Style" w:cs="Bookman Old Style"/>
          <w:i/>
          <w:iCs/>
          <w:sz w:val="24"/>
          <w:szCs w:val="24"/>
          <w:lang w:eastAsia="es-CO"/>
        </w:rPr>
        <w:t>».</w:t>
      </w:r>
      <w:r w:rsidR="00A42FF8" w:rsidRPr="00AC62C1">
        <w:rPr>
          <w:rFonts w:ascii="Bookman Old Style" w:hAnsi="Bookman Old Style" w:cs="Bookman Old Style"/>
          <w:i/>
          <w:iCs/>
          <w:sz w:val="28"/>
          <w:szCs w:val="28"/>
          <w:lang w:eastAsia="es-CO"/>
        </w:rPr>
        <w:t xml:space="preserve"> </w:t>
      </w:r>
      <w:r w:rsidR="00A42FF8" w:rsidRPr="00BD677A">
        <w:rPr>
          <w:rFonts w:ascii="Bookman Old Style" w:hAnsi="Bookman Old Style" w:cs="Bookman Old Style"/>
          <w:sz w:val="28"/>
          <w:szCs w:val="28"/>
          <w:lang w:eastAsia="es-CO"/>
        </w:rPr>
        <w:t>Puesto que esta</w:t>
      </w:r>
      <w:r w:rsidR="00606DB2">
        <w:rPr>
          <w:rFonts w:ascii="Bookman Old Style" w:hAnsi="Bookman Old Style" w:cs="Bookman Old Style"/>
          <w:sz w:val="28"/>
          <w:szCs w:val="28"/>
          <w:lang w:eastAsia="es-CO"/>
        </w:rPr>
        <w:t xml:space="preserve"> </w:t>
      </w:r>
      <w:r w:rsidR="00606DB2">
        <w:rPr>
          <w:rFonts w:ascii="Bookman Old Style" w:hAnsi="Bookman Old Style" w:cs="Bookman Old Style"/>
          <w:sz w:val="28"/>
          <w:szCs w:val="28"/>
          <w:lang w:eastAsia="es-CO"/>
        </w:rPr>
        <w:lastRenderedPageBreak/>
        <w:t>disposición contractual</w:t>
      </w:r>
      <w:r w:rsidR="00A42FF8" w:rsidRPr="00BD677A">
        <w:rPr>
          <w:rFonts w:ascii="Bookman Old Style" w:hAnsi="Bookman Old Style" w:cs="Bookman Old Style"/>
          <w:sz w:val="28"/>
          <w:szCs w:val="28"/>
          <w:lang w:eastAsia="es-CO"/>
        </w:rPr>
        <w:t xml:space="preserve"> solamente se activaba en el evento de incumplimiento en el pago de la prima. </w:t>
      </w:r>
    </w:p>
    <w:p w14:paraId="7F0CB7E9" w14:textId="77777777" w:rsidR="00F82978" w:rsidRDefault="00F82978" w:rsidP="00F92684">
      <w:pPr>
        <w:spacing w:after="0" w:line="360" w:lineRule="auto"/>
        <w:ind w:firstLine="709"/>
        <w:jc w:val="both"/>
        <w:rPr>
          <w:rFonts w:ascii="Bookman Old Style" w:hAnsi="Bookman Old Style"/>
          <w:sz w:val="28"/>
          <w:szCs w:val="28"/>
        </w:rPr>
      </w:pPr>
    </w:p>
    <w:p w14:paraId="6CE839F9" w14:textId="4665DCB2" w:rsidR="007B21BB" w:rsidRPr="006E2494" w:rsidRDefault="00606DB2" w:rsidP="006E2494">
      <w:pPr>
        <w:spacing w:after="0" w:line="360" w:lineRule="auto"/>
        <w:ind w:firstLine="709"/>
        <w:jc w:val="both"/>
        <w:rPr>
          <w:rFonts w:ascii="Bookman Old Style" w:eastAsiaTheme="minorHAnsi" w:hAnsi="Bookman Old Style"/>
          <w:sz w:val="28"/>
          <w:szCs w:val="28"/>
        </w:rPr>
      </w:pPr>
      <w:r>
        <w:rPr>
          <w:rFonts w:ascii="Bookman Old Style" w:eastAsia="Times New Roman" w:hAnsi="Bookman Old Style" w:cs="Open Sans"/>
          <w:color w:val="000000" w:themeColor="text1"/>
          <w:sz w:val="28"/>
          <w:szCs w:val="28"/>
          <w:lang w:eastAsia="es-MX"/>
        </w:rPr>
        <w:t>4.2. En ese orden de ideas, acreditado el pago de los ocho instalamentos pactados por las partes</w:t>
      </w:r>
      <w:r>
        <w:rPr>
          <w:rStyle w:val="Refdenotaalpie"/>
          <w:rFonts w:ascii="Bookman Old Style" w:eastAsia="Times New Roman" w:hAnsi="Bookman Old Style" w:cs="Open Sans"/>
          <w:color w:val="000000" w:themeColor="text1"/>
          <w:sz w:val="28"/>
          <w:szCs w:val="28"/>
          <w:lang w:eastAsia="es-MX"/>
        </w:rPr>
        <w:footnoteReference w:id="31"/>
      </w:r>
      <w:r>
        <w:rPr>
          <w:rFonts w:ascii="Bookman Old Style" w:eastAsia="Times New Roman" w:hAnsi="Bookman Old Style" w:cs="Open Sans"/>
          <w:color w:val="000000" w:themeColor="text1"/>
          <w:sz w:val="28"/>
          <w:szCs w:val="28"/>
          <w:lang w:eastAsia="es-MX"/>
        </w:rPr>
        <w:t xml:space="preserve">, es posible concluir -tal como a bien lo tuvo el juez </w:t>
      </w:r>
      <w:r w:rsidR="00AC62C1">
        <w:rPr>
          <w:rFonts w:ascii="Bookman Old Style" w:eastAsia="Times New Roman" w:hAnsi="Bookman Old Style" w:cs="Open Sans"/>
          <w:color w:val="000000" w:themeColor="text1"/>
          <w:sz w:val="28"/>
          <w:szCs w:val="28"/>
          <w:lang w:eastAsia="es-MX"/>
        </w:rPr>
        <w:t>c</w:t>
      </w:r>
      <w:r>
        <w:rPr>
          <w:rFonts w:ascii="Bookman Old Style" w:eastAsia="Times New Roman" w:hAnsi="Bookman Old Style" w:cs="Open Sans"/>
          <w:color w:val="000000" w:themeColor="text1"/>
          <w:sz w:val="28"/>
          <w:szCs w:val="28"/>
          <w:lang w:eastAsia="es-MX"/>
        </w:rPr>
        <w:t xml:space="preserve">olegiado- que </w:t>
      </w:r>
      <w:r w:rsidRPr="00606DB2">
        <w:rPr>
          <w:rFonts w:ascii="Bookman Old Style" w:eastAsiaTheme="minorHAnsi" w:hAnsi="Bookman Old Style"/>
          <w:sz w:val="28"/>
          <w:szCs w:val="28"/>
        </w:rPr>
        <w:t>la parte asegurada cumplió con su obligación en el plazo estipulado en el contrato. De allí</w:t>
      </w:r>
      <w:r w:rsidR="00AC62C1">
        <w:rPr>
          <w:rFonts w:ascii="Bookman Old Style" w:eastAsiaTheme="minorHAnsi" w:hAnsi="Bookman Old Style"/>
          <w:sz w:val="28"/>
          <w:szCs w:val="28"/>
        </w:rPr>
        <w:t xml:space="preserve"> </w:t>
      </w:r>
      <w:r w:rsidRPr="00606DB2">
        <w:rPr>
          <w:rFonts w:ascii="Bookman Old Style" w:eastAsiaTheme="minorHAnsi" w:hAnsi="Bookman Old Style"/>
          <w:sz w:val="28"/>
          <w:szCs w:val="28"/>
        </w:rPr>
        <w:t xml:space="preserve">que </w:t>
      </w:r>
      <w:r w:rsidR="00A17175">
        <w:rPr>
          <w:rFonts w:ascii="Bookman Old Style" w:eastAsiaTheme="minorHAnsi" w:hAnsi="Bookman Old Style"/>
          <w:sz w:val="28"/>
          <w:szCs w:val="28"/>
        </w:rPr>
        <w:t xml:space="preserve">el </w:t>
      </w:r>
      <w:r w:rsidR="00143800">
        <w:rPr>
          <w:rFonts w:ascii="Bookman Old Style" w:eastAsiaTheme="minorHAnsi" w:hAnsi="Bookman Old Style"/>
          <w:sz w:val="28"/>
          <w:szCs w:val="28"/>
        </w:rPr>
        <w:t xml:space="preserve">incumplimiento </w:t>
      </w:r>
      <w:r w:rsidR="00143800" w:rsidRPr="00606DB2">
        <w:rPr>
          <w:rFonts w:ascii="Bookman Old Style" w:eastAsiaTheme="minorHAnsi" w:hAnsi="Bookman Old Style"/>
          <w:sz w:val="28"/>
          <w:szCs w:val="28"/>
        </w:rPr>
        <w:t>como</w:t>
      </w:r>
      <w:r w:rsidRPr="00606DB2">
        <w:rPr>
          <w:rFonts w:ascii="Bookman Old Style" w:eastAsiaTheme="minorHAnsi" w:hAnsi="Bookman Old Style"/>
          <w:sz w:val="28"/>
          <w:szCs w:val="28"/>
        </w:rPr>
        <w:t xml:space="preserve"> causal para la terminación automática del contrato no se encuentre </w:t>
      </w:r>
      <w:r w:rsidR="00A019A4">
        <w:rPr>
          <w:rFonts w:ascii="Bookman Old Style" w:eastAsiaTheme="minorHAnsi" w:hAnsi="Bookman Old Style"/>
          <w:sz w:val="28"/>
          <w:szCs w:val="28"/>
        </w:rPr>
        <w:t>acreditado</w:t>
      </w:r>
      <w:r w:rsidRPr="00606DB2">
        <w:rPr>
          <w:rFonts w:ascii="Bookman Old Style" w:eastAsiaTheme="minorHAnsi" w:hAnsi="Bookman Old Style"/>
          <w:sz w:val="28"/>
          <w:szCs w:val="28"/>
        </w:rPr>
        <w:t>. En efecto, el tomador pagó el precio del seguro.</w:t>
      </w:r>
      <w:r w:rsidR="006E2494">
        <w:rPr>
          <w:rFonts w:ascii="Bookman Old Style" w:eastAsiaTheme="minorHAnsi" w:hAnsi="Bookman Old Style"/>
          <w:sz w:val="28"/>
          <w:szCs w:val="28"/>
        </w:rPr>
        <w:t xml:space="preserve"> </w:t>
      </w:r>
      <w:r>
        <w:rPr>
          <w:rFonts w:ascii="Bookman Old Style" w:eastAsia="Times New Roman" w:hAnsi="Bookman Old Style" w:cs="Open Sans"/>
          <w:color w:val="000000" w:themeColor="text1"/>
          <w:sz w:val="28"/>
          <w:szCs w:val="28"/>
          <w:lang w:eastAsia="es-MX"/>
        </w:rPr>
        <w:t>En consecuencia</w:t>
      </w:r>
      <w:r w:rsidR="00142758" w:rsidRPr="00BD677A">
        <w:rPr>
          <w:rFonts w:ascii="Bookman Old Style" w:eastAsia="Times New Roman" w:hAnsi="Bookman Old Style" w:cs="Open Sans"/>
          <w:color w:val="000000" w:themeColor="text1"/>
          <w:sz w:val="28"/>
          <w:szCs w:val="28"/>
          <w:lang w:eastAsia="es-MX"/>
        </w:rPr>
        <w:t xml:space="preserve">, </w:t>
      </w:r>
      <w:r w:rsidR="00B9762C" w:rsidRPr="00BD677A">
        <w:rPr>
          <w:rFonts w:ascii="Bookman Old Style" w:eastAsia="Times New Roman" w:hAnsi="Bookman Old Style" w:cs="Open Sans"/>
          <w:color w:val="000000" w:themeColor="text1"/>
          <w:sz w:val="28"/>
          <w:szCs w:val="28"/>
          <w:lang w:eastAsia="es-MX"/>
        </w:rPr>
        <w:t>a</w:t>
      </w:r>
      <w:r>
        <w:rPr>
          <w:rFonts w:ascii="Bookman Old Style" w:eastAsia="Times New Roman" w:hAnsi="Bookman Old Style" w:cs="Open Sans"/>
          <w:color w:val="000000" w:themeColor="text1"/>
          <w:sz w:val="28"/>
          <w:szCs w:val="28"/>
          <w:lang w:eastAsia="es-MX"/>
        </w:rPr>
        <w:t>l</w:t>
      </w:r>
      <w:r w:rsidR="00B9762C" w:rsidRPr="00BD677A">
        <w:rPr>
          <w:rFonts w:ascii="Bookman Old Style" w:eastAsia="Times New Roman" w:hAnsi="Bookman Old Style" w:cs="Open Sans"/>
          <w:color w:val="000000" w:themeColor="text1"/>
          <w:sz w:val="28"/>
          <w:szCs w:val="28"/>
          <w:lang w:eastAsia="es-MX"/>
        </w:rPr>
        <w:t xml:space="preserve"> no existir primas anuales insatisfechas, los presupuestos de aplicación de la cláusula </w:t>
      </w:r>
      <w:r w:rsidR="00221308">
        <w:rPr>
          <w:rFonts w:ascii="Bookman Old Style" w:eastAsia="Times New Roman" w:hAnsi="Bookman Old Style" w:cs="Open Sans"/>
          <w:color w:val="000000" w:themeColor="text1"/>
          <w:sz w:val="28"/>
          <w:szCs w:val="28"/>
          <w:lang w:eastAsia="es-MX"/>
        </w:rPr>
        <w:t xml:space="preserve">6.2. </w:t>
      </w:r>
      <w:r w:rsidR="00B9762C" w:rsidRPr="00BD677A">
        <w:rPr>
          <w:rFonts w:ascii="Bookman Old Style" w:eastAsia="Times New Roman" w:hAnsi="Bookman Old Style" w:cs="Open Sans"/>
          <w:color w:val="000000" w:themeColor="text1"/>
          <w:sz w:val="28"/>
          <w:szCs w:val="28"/>
          <w:lang w:eastAsia="es-MX"/>
        </w:rPr>
        <w:t xml:space="preserve">no se </w:t>
      </w:r>
      <w:r w:rsidR="008E3BF3" w:rsidRPr="00BD677A">
        <w:rPr>
          <w:rFonts w:ascii="Bookman Old Style" w:eastAsia="Times New Roman" w:hAnsi="Bookman Old Style" w:cs="Open Sans"/>
          <w:color w:val="000000" w:themeColor="text1"/>
          <w:sz w:val="28"/>
          <w:szCs w:val="28"/>
          <w:lang w:eastAsia="es-MX"/>
        </w:rPr>
        <w:t>con</w:t>
      </w:r>
      <w:r w:rsidR="008E3BF3">
        <w:rPr>
          <w:rFonts w:ascii="Bookman Old Style" w:eastAsia="Times New Roman" w:hAnsi="Bookman Old Style" w:cs="Open Sans"/>
          <w:color w:val="000000" w:themeColor="text1"/>
          <w:sz w:val="28"/>
          <w:szCs w:val="28"/>
          <w:lang w:eastAsia="es-MX"/>
        </w:rPr>
        <w:t>figuran</w:t>
      </w:r>
      <w:r w:rsidR="00B9762C" w:rsidRPr="00BD677A">
        <w:rPr>
          <w:rFonts w:ascii="Bookman Old Style" w:eastAsia="Times New Roman" w:hAnsi="Bookman Old Style" w:cs="Open Sans"/>
          <w:color w:val="000000" w:themeColor="text1"/>
          <w:sz w:val="28"/>
          <w:szCs w:val="28"/>
          <w:lang w:eastAsia="es-MX"/>
        </w:rPr>
        <w:t>.</w:t>
      </w:r>
      <w:r w:rsidR="007B21BB" w:rsidRPr="00BD677A">
        <w:rPr>
          <w:rFonts w:ascii="Bookman Old Style" w:eastAsia="Times New Roman" w:hAnsi="Bookman Old Style" w:cs="Open Sans"/>
          <w:color w:val="000000" w:themeColor="text1"/>
          <w:sz w:val="28"/>
          <w:szCs w:val="28"/>
          <w:lang w:eastAsia="es-MX"/>
        </w:rPr>
        <w:t xml:space="preserve"> </w:t>
      </w:r>
      <w:r w:rsidR="008E3BF3">
        <w:rPr>
          <w:rFonts w:ascii="Bookman Old Style" w:eastAsia="Times New Roman" w:hAnsi="Bookman Old Style" w:cs="Open Sans"/>
          <w:color w:val="000000" w:themeColor="text1"/>
          <w:sz w:val="28"/>
          <w:szCs w:val="28"/>
          <w:lang w:eastAsia="es-MX"/>
        </w:rPr>
        <w:t>E</w:t>
      </w:r>
      <w:r w:rsidR="006E2494">
        <w:rPr>
          <w:rFonts w:ascii="Bookman Old Style" w:eastAsia="Times New Roman" w:hAnsi="Bookman Old Style" w:cs="Open Sans"/>
          <w:color w:val="000000" w:themeColor="text1"/>
          <w:sz w:val="28"/>
          <w:szCs w:val="28"/>
          <w:lang w:eastAsia="es-MX"/>
        </w:rPr>
        <w:t>sto es</w:t>
      </w:r>
      <w:r w:rsidR="007B21BB" w:rsidRPr="00BD677A">
        <w:rPr>
          <w:rFonts w:ascii="Bookman Old Style" w:eastAsia="Times New Roman" w:hAnsi="Bookman Old Style" w:cs="Open Sans"/>
          <w:color w:val="000000" w:themeColor="text1"/>
          <w:sz w:val="28"/>
          <w:szCs w:val="28"/>
          <w:lang w:eastAsia="es-MX"/>
        </w:rPr>
        <w:t xml:space="preserve">, la operatividad de la estipulación se restringe. </w:t>
      </w:r>
      <w:r w:rsidR="008E3BF3">
        <w:rPr>
          <w:rFonts w:ascii="Bookman Old Style" w:eastAsia="Times New Roman" w:hAnsi="Bookman Old Style" w:cs="Open Sans"/>
          <w:color w:val="000000" w:themeColor="text1"/>
          <w:sz w:val="28"/>
          <w:szCs w:val="28"/>
          <w:lang w:eastAsia="es-MX"/>
        </w:rPr>
        <w:t>Tal como la sentencia</w:t>
      </w:r>
      <w:r w:rsidR="00221308">
        <w:rPr>
          <w:rFonts w:ascii="Bookman Old Style" w:eastAsia="Times New Roman" w:hAnsi="Bookman Old Style" w:cs="Open Sans"/>
          <w:color w:val="000000" w:themeColor="text1"/>
          <w:sz w:val="28"/>
          <w:szCs w:val="28"/>
          <w:lang w:eastAsia="es-MX"/>
        </w:rPr>
        <w:t xml:space="preserve"> impugnada</w:t>
      </w:r>
      <w:r w:rsidR="008E3BF3">
        <w:rPr>
          <w:rFonts w:ascii="Bookman Old Style" w:eastAsia="Times New Roman" w:hAnsi="Bookman Old Style" w:cs="Open Sans"/>
          <w:color w:val="000000" w:themeColor="text1"/>
          <w:sz w:val="28"/>
          <w:szCs w:val="28"/>
          <w:lang w:eastAsia="es-MX"/>
        </w:rPr>
        <w:t xml:space="preserve"> lo enmarca</w:t>
      </w:r>
      <w:r w:rsidR="00221308">
        <w:rPr>
          <w:rFonts w:ascii="Bookman Old Style" w:eastAsia="Times New Roman" w:hAnsi="Bookman Old Style" w:cs="Open Sans"/>
          <w:color w:val="000000" w:themeColor="text1"/>
          <w:sz w:val="28"/>
          <w:szCs w:val="28"/>
          <w:lang w:eastAsia="es-MX"/>
        </w:rPr>
        <w:t>:</w:t>
      </w:r>
      <w:r w:rsidR="008E3BF3">
        <w:rPr>
          <w:rFonts w:ascii="Bookman Old Style" w:eastAsia="Times New Roman" w:hAnsi="Bookman Old Style" w:cs="Open Sans"/>
          <w:color w:val="000000" w:themeColor="text1"/>
          <w:sz w:val="28"/>
          <w:szCs w:val="28"/>
          <w:lang w:eastAsia="es-MX"/>
        </w:rPr>
        <w:t xml:space="preserve"> </w:t>
      </w:r>
      <w:r w:rsidR="008E3BF3" w:rsidRPr="00AC62C1">
        <w:rPr>
          <w:rFonts w:ascii="Bookman Old Style" w:eastAsia="Times New Roman" w:hAnsi="Bookman Old Style" w:cs="Open Sans"/>
          <w:color w:val="000000" w:themeColor="text1"/>
          <w:sz w:val="28"/>
          <w:szCs w:val="28"/>
          <w:lang w:eastAsia="es-MX"/>
        </w:rPr>
        <w:t>«</w:t>
      </w:r>
      <w:r w:rsidR="008E3BF3" w:rsidRPr="00AC62C1">
        <w:rPr>
          <w:rFonts w:ascii="Bookman Old Style" w:eastAsia="Times New Roman" w:hAnsi="Bookman Old Style" w:cs="Open Sans"/>
          <w:i/>
          <w:iCs/>
          <w:color w:val="000000" w:themeColor="text1"/>
          <w:sz w:val="24"/>
          <w:szCs w:val="24"/>
          <w:lang w:eastAsia="es-MX"/>
        </w:rPr>
        <w:t>si el asegurado cumplió en debida forma con el pago de las primas a que se obligó, itérese, su principal obligación, no era dable hacer ejecutar la cláusula (6.2 de las condiciones generales)»</w:t>
      </w:r>
      <w:r w:rsidR="002E100A" w:rsidRPr="00AC62C1">
        <w:rPr>
          <w:rStyle w:val="Refdenotaalpie"/>
          <w:rFonts w:ascii="Bookman Old Style" w:eastAsia="Times New Roman" w:hAnsi="Bookman Old Style" w:cs="Open Sans"/>
          <w:i/>
          <w:iCs/>
          <w:color w:val="000000" w:themeColor="text1"/>
          <w:sz w:val="24"/>
          <w:szCs w:val="24"/>
          <w:lang w:eastAsia="es-MX"/>
        </w:rPr>
        <w:t xml:space="preserve"> </w:t>
      </w:r>
      <w:r w:rsidR="002E100A" w:rsidRPr="00AC62C1">
        <w:rPr>
          <w:rStyle w:val="Refdenotaalpie"/>
          <w:rFonts w:ascii="Bookman Old Style" w:eastAsia="Times New Roman" w:hAnsi="Bookman Old Style" w:cs="Open Sans"/>
          <w:i/>
          <w:iCs/>
          <w:color w:val="000000" w:themeColor="text1"/>
          <w:sz w:val="24"/>
          <w:szCs w:val="24"/>
          <w:lang w:eastAsia="es-MX"/>
        </w:rPr>
        <w:footnoteReference w:id="32"/>
      </w:r>
      <w:r w:rsidR="00221308" w:rsidRPr="00AC62C1">
        <w:rPr>
          <w:rFonts w:ascii="Bookman Old Style" w:eastAsia="Times New Roman" w:hAnsi="Bookman Old Style" w:cs="Open Sans"/>
          <w:i/>
          <w:iCs/>
          <w:color w:val="000000" w:themeColor="text1"/>
          <w:sz w:val="24"/>
          <w:szCs w:val="24"/>
          <w:lang w:eastAsia="es-MX"/>
        </w:rPr>
        <w:t>.</w:t>
      </w:r>
    </w:p>
    <w:p w14:paraId="0D3F03D9" w14:textId="77777777" w:rsidR="00F82978" w:rsidRPr="00D05E58" w:rsidRDefault="00F82978" w:rsidP="00F92684">
      <w:pPr>
        <w:spacing w:after="0" w:line="360" w:lineRule="auto"/>
        <w:jc w:val="both"/>
        <w:rPr>
          <w:rFonts w:ascii="Bookman Old Style" w:eastAsia="Times New Roman" w:hAnsi="Bookman Old Style" w:cs="Open Sans"/>
          <w:i/>
          <w:iCs/>
          <w:color w:val="000000" w:themeColor="text1"/>
          <w:sz w:val="24"/>
          <w:szCs w:val="24"/>
          <w:lang w:eastAsia="es-MX"/>
        </w:rPr>
      </w:pPr>
    </w:p>
    <w:p w14:paraId="11439E0D" w14:textId="73D6CFC2" w:rsidR="007B21BB" w:rsidRPr="00221308" w:rsidRDefault="00221308" w:rsidP="00F92684">
      <w:pPr>
        <w:spacing w:after="0" w:line="360" w:lineRule="auto"/>
        <w:ind w:firstLine="709"/>
        <w:jc w:val="both"/>
        <w:rPr>
          <w:rFonts w:ascii="Bookman Old Style" w:eastAsia="Times New Roman" w:hAnsi="Bookman Old Style" w:cs="Open Sans"/>
          <w:i/>
          <w:iCs/>
          <w:color w:val="000000" w:themeColor="text1"/>
          <w:sz w:val="24"/>
          <w:szCs w:val="24"/>
          <w:lang w:val="es-MX" w:eastAsia="es-MX"/>
        </w:rPr>
      </w:pPr>
      <w:r>
        <w:rPr>
          <w:rFonts w:ascii="Bookman Old Style" w:eastAsia="Times New Roman" w:hAnsi="Bookman Old Style" w:cs="Open Sans"/>
          <w:color w:val="000000" w:themeColor="text1"/>
          <w:sz w:val="28"/>
          <w:szCs w:val="28"/>
          <w:lang w:eastAsia="es-MX"/>
        </w:rPr>
        <w:t>4</w:t>
      </w:r>
      <w:r w:rsidR="007B21BB" w:rsidRPr="00BD677A">
        <w:rPr>
          <w:rFonts w:ascii="Bookman Old Style" w:eastAsia="Times New Roman" w:hAnsi="Bookman Old Style" w:cs="Open Sans"/>
          <w:color w:val="000000" w:themeColor="text1"/>
          <w:sz w:val="28"/>
          <w:szCs w:val="28"/>
          <w:lang w:eastAsia="es-MX"/>
        </w:rPr>
        <w:t xml:space="preserve">.3. </w:t>
      </w:r>
      <w:r>
        <w:rPr>
          <w:rFonts w:ascii="Bookman Old Style" w:eastAsia="Times New Roman" w:hAnsi="Bookman Old Style" w:cs="Open Sans"/>
          <w:color w:val="000000" w:themeColor="text1"/>
          <w:sz w:val="28"/>
          <w:szCs w:val="28"/>
          <w:lang w:eastAsia="es-MX"/>
        </w:rPr>
        <w:t xml:space="preserve">De manera que, contrario a lo </w:t>
      </w:r>
      <w:r w:rsidR="00600707">
        <w:rPr>
          <w:rFonts w:ascii="Bookman Old Style" w:eastAsia="Times New Roman" w:hAnsi="Bookman Old Style" w:cs="Open Sans"/>
          <w:color w:val="000000" w:themeColor="text1"/>
          <w:sz w:val="28"/>
          <w:szCs w:val="28"/>
          <w:lang w:eastAsia="es-MX"/>
        </w:rPr>
        <w:t>planteado</w:t>
      </w:r>
      <w:r>
        <w:rPr>
          <w:rFonts w:ascii="Bookman Old Style" w:eastAsia="Times New Roman" w:hAnsi="Bookman Old Style" w:cs="Open Sans"/>
          <w:color w:val="000000" w:themeColor="text1"/>
          <w:sz w:val="28"/>
          <w:szCs w:val="28"/>
          <w:lang w:eastAsia="es-MX"/>
        </w:rPr>
        <w:t xml:space="preserve"> por el censor, se observa que en </w:t>
      </w:r>
      <w:r w:rsidR="00414991" w:rsidRPr="00BD677A">
        <w:rPr>
          <w:rFonts w:ascii="Bookman Old Style" w:eastAsia="Times New Roman" w:hAnsi="Bookman Old Style" w:cs="Open Sans"/>
          <w:color w:val="000000" w:themeColor="text1"/>
          <w:sz w:val="28"/>
          <w:szCs w:val="28"/>
          <w:lang w:val="es-MX" w:eastAsia="es-MX"/>
        </w:rPr>
        <w:t xml:space="preserve">la sentencia </w:t>
      </w:r>
      <w:r>
        <w:rPr>
          <w:rFonts w:ascii="Bookman Old Style" w:eastAsia="Times New Roman" w:hAnsi="Bookman Old Style" w:cs="Open Sans"/>
          <w:color w:val="000000" w:themeColor="text1"/>
          <w:sz w:val="28"/>
          <w:szCs w:val="28"/>
          <w:lang w:val="es-MX" w:eastAsia="es-MX"/>
        </w:rPr>
        <w:t>impugnada</w:t>
      </w:r>
      <w:r w:rsidR="00414991" w:rsidRPr="00BD677A">
        <w:rPr>
          <w:rFonts w:ascii="Bookman Old Style" w:eastAsia="Times New Roman" w:hAnsi="Bookman Old Style" w:cs="Open Sans"/>
          <w:color w:val="000000" w:themeColor="text1"/>
          <w:sz w:val="28"/>
          <w:szCs w:val="28"/>
          <w:lang w:val="es-MX" w:eastAsia="es-MX"/>
        </w:rPr>
        <w:t xml:space="preserve"> sí </w:t>
      </w:r>
      <w:r>
        <w:rPr>
          <w:rFonts w:ascii="Bookman Old Style" w:eastAsia="Times New Roman" w:hAnsi="Bookman Old Style" w:cs="Open Sans"/>
          <w:color w:val="000000" w:themeColor="text1"/>
          <w:sz w:val="28"/>
          <w:szCs w:val="28"/>
          <w:lang w:val="es-MX" w:eastAsia="es-MX"/>
        </w:rPr>
        <w:t xml:space="preserve">se </w:t>
      </w:r>
      <w:r w:rsidR="00414991" w:rsidRPr="00BD677A">
        <w:rPr>
          <w:rFonts w:ascii="Bookman Old Style" w:eastAsia="Times New Roman" w:hAnsi="Bookman Old Style" w:cs="Open Sans"/>
          <w:color w:val="000000" w:themeColor="text1"/>
          <w:sz w:val="28"/>
          <w:szCs w:val="28"/>
          <w:lang w:val="es-MX" w:eastAsia="es-MX"/>
        </w:rPr>
        <w:t>art</w:t>
      </w:r>
      <w:r w:rsidR="00711B37">
        <w:rPr>
          <w:rFonts w:ascii="Bookman Old Style" w:eastAsia="Times New Roman" w:hAnsi="Bookman Old Style" w:cs="Open Sans"/>
          <w:color w:val="000000" w:themeColor="text1"/>
          <w:sz w:val="28"/>
          <w:szCs w:val="28"/>
          <w:lang w:val="es-MX" w:eastAsia="es-MX"/>
        </w:rPr>
        <w:t>i</w:t>
      </w:r>
      <w:r w:rsidR="00414991" w:rsidRPr="00BD677A">
        <w:rPr>
          <w:rFonts w:ascii="Bookman Old Style" w:eastAsia="Times New Roman" w:hAnsi="Bookman Old Style" w:cs="Open Sans"/>
          <w:color w:val="000000" w:themeColor="text1"/>
          <w:sz w:val="28"/>
          <w:szCs w:val="28"/>
          <w:lang w:val="es-MX" w:eastAsia="es-MX"/>
        </w:rPr>
        <w:t>cul</w:t>
      </w:r>
      <w:r>
        <w:rPr>
          <w:rFonts w:ascii="Bookman Old Style" w:eastAsia="Times New Roman" w:hAnsi="Bookman Old Style" w:cs="Open Sans"/>
          <w:color w:val="000000" w:themeColor="text1"/>
          <w:sz w:val="28"/>
          <w:szCs w:val="28"/>
          <w:lang w:val="es-MX" w:eastAsia="es-MX"/>
        </w:rPr>
        <w:t>aron</w:t>
      </w:r>
      <w:r w:rsidR="00414991" w:rsidRPr="00BD677A">
        <w:rPr>
          <w:rFonts w:ascii="Bookman Old Style" w:eastAsia="Times New Roman" w:hAnsi="Bookman Old Style" w:cs="Open Sans"/>
          <w:color w:val="000000" w:themeColor="text1"/>
          <w:sz w:val="28"/>
          <w:szCs w:val="28"/>
          <w:lang w:val="es-MX" w:eastAsia="es-MX"/>
        </w:rPr>
        <w:t xml:space="preserve"> las</w:t>
      </w:r>
      <w:r>
        <w:rPr>
          <w:rFonts w:ascii="Bookman Old Style" w:eastAsia="Times New Roman" w:hAnsi="Bookman Old Style" w:cs="Open Sans"/>
          <w:color w:val="000000" w:themeColor="text1"/>
          <w:sz w:val="28"/>
          <w:szCs w:val="28"/>
          <w:lang w:val="es-MX" w:eastAsia="es-MX"/>
        </w:rPr>
        <w:t xml:space="preserve"> mentadas</w:t>
      </w:r>
      <w:r w:rsidR="00414991" w:rsidRPr="00BD677A">
        <w:rPr>
          <w:rFonts w:ascii="Bookman Old Style" w:eastAsia="Times New Roman" w:hAnsi="Bookman Old Style" w:cs="Open Sans"/>
          <w:color w:val="000000" w:themeColor="text1"/>
          <w:sz w:val="28"/>
          <w:szCs w:val="28"/>
          <w:lang w:val="es-MX" w:eastAsia="es-MX"/>
        </w:rPr>
        <w:t xml:space="preserve"> disp</w:t>
      </w:r>
      <w:r w:rsidR="00711B37">
        <w:rPr>
          <w:rFonts w:ascii="Bookman Old Style" w:eastAsia="Times New Roman" w:hAnsi="Bookman Old Style" w:cs="Open Sans"/>
          <w:color w:val="000000" w:themeColor="text1"/>
          <w:sz w:val="28"/>
          <w:szCs w:val="28"/>
          <w:lang w:val="es-MX" w:eastAsia="es-MX"/>
        </w:rPr>
        <w:t>o</w:t>
      </w:r>
      <w:r w:rsidR="00414991" w:rsidRPr="00BD677A">
        <w:rPr>
          <w:rFonts w:ascii="Bookman Old Style" w:eastAsia="Times New Roman" w:hAnsi="Bookman Old Style" w:cs="Open Sans"/>
          <w:color w:val="000000" w:themeColor="text1"/>
          <w:sz w:val="28"/>
          <w:szCs w:val="28"/>
          <w:lang w:val="es-MX" w:eastAsia="es-MX"/>
        </w:rPr>
        <w:t>siciones contractuales. Al respecto</w:t>
      </w:r>
      <w:r w:rsidR="00414991" w:rsidRPr="00BD677A">
        <w:rPr>
          <w:rFonts w:ascii="Bookman Old Style" w:eastAsia="Times New Roman" w:hAnsi="Bookman Old Style" w:cs="Open Sans"/>
          <w:i/>
          <w:iCs/>
          <w:color w:val="000000" w:themeColor="text1"/>
          <w:sz w:val="28"/>
          <w:szCs w:val="28"/>
          <w:lang w:val="es-MX" w:eastAsia="es-MX"/>
        </w:rPr>
        <w:t>,</w:t>
      </w:r>
      <w:r>
        <w:rPr>
          <w:rFonts w:ascii="Bookman Old Style" w:eastAsia="Times New Roman" w:hAnsi="Bookman Old Style" w:cs="Open Sans"/>
          <w:i/>
          <w:iCs/>
          <w:color w:val="000000" w:themeColor="text1"/>
          <w:sz w:val="28"/>
          <w:szCs w:val="28"/>
          <w:lang w:val="es-MX" w:eastAsia="es-MX"/>
        </w:rPr>
        <w:t xml:space="preserve"> </w:t>
      </w:r>
      <w:r>
        <w:rPr>
          <w:rFonts w:ascii="Bookman Old Style" w:eastAsia="Times New Roman" w:hAnsi="Bookman Old Style" w:cs="Open Sans"/>
          <w:color w:val="000000" w:themeColor="text1"/>
          <w:sz w:val="28"/>
          <w:szCs w:val="28"/>
          <w:lang w:val="es-MX" w:eastAsia="es-MX"/>
        </w:rPr>
        <w:t>se</w:t>
      </w:r>
      <w:r w:rsidR="00414991" w:rsidRPr="00BD677A">
        <w:rPr>
          <w:rFonts w:ascii="Bookman Old Style" w:eastAsia="Times New Roman" w:hAnsi="Bookman Old Style" w:cs="Open Sans"/>
          <w:i/>
          <w:iCs/>
          <w:color w:val="000000" w:themeColor="text1"/>
          <w:sz w:val="28"/>
          <w:szCs w:val="28"/>
          <w:lang w:val="es-MX" w:eastAsia="es-MX"/>
        </w:rPr>
        <w:t xml:space="preserve"> </w:t>
      </w:r>
      <w:r w:rsidR="00414991" w:rsidRPr="00221308">
        <w:rPr>
          <w:rFonts w:ascii="Bookman Old Style" w:eastAsia="Times New Roman" w:hAnsi="Bookman Old Style" w:cs="Open Sans"/>
          <w:color w:val="000000" w:themeColor="text1"/>
          <w:sz w:val="28"/>
          <w:szCs w:val="28"/>
          <w:lang w:val="es-MX" w:eastAsia="es-MX"/>
        </w:rPr>
        <w:t>indicó</w:t>
      </w:r>
      <w:r>
        <w:rPr>
          <w:rFonts w:ascii="Bookman Old Style" w:eastAsia="Times New Roman" w:hAnsi="Bookman Old Style" w:cs="Open Sans"/>
          <w:color w:val="000000" w:themeColor="text1"/>
          <w:sz w:val="28"/>
          <w:szCs w:val="28"/>
          <w:lang w:val="es-MX" w:eastAsia="es-MX"/>
        </w:rPr>
        <w:t xml:space="preserve"> que</w:t>
      </w:r>
      <w:r w:rsidR="00414991" w:rsidRPr="00221308">
        <w:rPr>
          <w:rFonts w:ascii="Bookman Old Style" w:eastAsia="Times New Roman" w:hAnsi="Bookman Old Style" w:cs="Open Sans"/>
          <w:i/>
          <w:iCs/>
          <w:color w:val="000000" w:themeColor="text1"/>
          <w:sz w:val="24"/>
          <w:szCs w:val="24"/>
          <w:lang w:val="es-MX" w:eastAsia="es-MX"/>
        </w:rPr>
        <w:t xml:space="preserve"> </w:t>
      </w:r>
      <w:r w:rsidRPr="00AC62C1">
        <w:rPr>
          <w:rFonts w:ascii="Bookman Old Style" w:eastAsia="Times New Roman" w:hAnsi="Bookman Old Style" w:cs="Open Sans"/>
          <w:i/>
          <w:iCs/>
          <w:color w:val="000000" w:themeColor="text1"/>
          <w:sz w:val="24"/>
          <w:szCs w:val="24"/>
          <w:lang w:val="es-MX" w:eastAsia="es-MX"/>
        </w:rPr>
        <w:t>«</w:t>
      </w:r>
      <w:r w:rsidR="00414991" w:rsidRPr="00AC62C1">
        <w:rPr>
          <w:rFonts w:ascii="Bookman Old Style" w:eastAsia="Times New Roman" w:hAnsi="Bookman Old Style" w:cs="Open Sans"/>
          <w:i/>
          <w:iCs/>
          <w:color w:val="000000" w:themeColor="text1"/>
          <w:sz w:val="24"/>
          <w:szCs w:val="24"/>
          <w:lang w:val="es-MX" w:eastAsia="es-MX"/>
        </w:rPr>
        <w:t>si el asegurado cumplió en debida forma con el pago de las primas a que se le obligó, interese, su principal obligación, no era dable hacer ejecutar la cláusula antes citada (6.2 de las condiciones generales) como quiera que no existían primas por cubrir</w:t>
      </w:r>
      <w:r w:rsidRPr="00AC62C1">
        <w:rPr>
          <w:rFonts w:ascii="Bookman Old Style" w:eastAsia="Times New Roman" w:hAnsi="Bookman Old Style" w:cs="Open Sans"/>
          <w:i/>
          <w:iCs/>
          <w:color w:val="000000" w:themeColor="text1"/>
          <w:sz w:val="24"/>
          <w:szCs w:val="24"/>
          <w:lang w:val="es-MX" w:eastAsia="es-MX"/>
        </w:rPr>
        <w:t>»</w:t>
      </w:r>
      <w:r w:rsidR="00414991" w:rsidRPr="00AC62C1">
        <w:rPr>
          <w:rFonts w:ascii="Bookman Old Style" w:eastAsia="Times New Roman" w:hAnsi="Bookman Old Style" w:cs="Open Sans"/>
          <w:i/>
          <w:iCs/>
          <w:color w:val="000000" w:themeColor="text1"/>
          <w:sz w:val="24"/>
          <w:szCs w:val="24"/>
          <w:lang w:val="es-MX" w:eastAsia="es-MX"/>
        </w:rPr>
        <w:t>.</w:t>
      </w:r>
      <w:r w:rsidR="00414991" w:rsidRPr="00BD677A">
        <w:rPr>
          <w:rFonts w:ascii="Bookman Old Style" w:eastAsia="Times New Roman" w:hAnsi="Bookman Old Style" w:cs="Open Sans"/>
          <w:color w:val="000000" w:themeColor="text1"/>
          <w:sz w:val="24"/>
          <w:szCs w:val="24"/>
          <w:lang w:val="es-MX" w:eastAsia="es-MX"/>
        </w:rPr>
        <w:t xml:space="preserve"> </w:t>
      </w:r>
      <w:r w:rsidR="00414991" w:rsidRPr="00BD677A">
        <w:rPr>
          <w:rFonts w:ascii="Bookman Old Style" w:eastAsia="Times New Roman" w:hAnsi="Bookman Old Style" w:cs="Open Sans"/>
          <w:color w:val="000000" w:themeColor="text1"/>
          <w:sz w:val="28"/>
          <w:szCs w:val="28"/>
          <w:lang w:val="es-MX" w:eastAsia="es-MX"/>
        </w:rPr>
        <w:t>De tal suerte que, del cotejo entre la sentencia y la censura, no reful</w:t>
      </w:r>
      <w:r w:rsidR="00711B37">
        <w:rPr>
          <w:rFonts w:ascii="Bookman Old Style" w:eastAsia="Times New Roman" w:hAnsi="Bookman Old Style" w:cs="Open Sans"/>
          <w:color w:val="000000" w:themeColor="text1"/>
          <w:sz w:val="28"/>
          <w:szCs w:val="28"/>
          <w:lang w:val="es-MX" w:eastAsia="es-MX"/>
        </w:rPr>
        <w:t>g</w:t>
      </w:r>
      <w:r w:rsidR="00414991" w:rsidRPr="00BD677A">
        <w:rPr>
          <w:rFonts w:ascii="Bookman Old Style" w:eastAsia="Times New Roman" w:hAnsi="Bookman Old Style" w:cs="Open Sans"/>
          <w:color w:val="000000" w:themeColor="text1"/>
          <w:sz w:val="28"/>
          <w:szCs w:val="28"/>
          <w:lang w:val="es-MX" w:eastAsia="es-MX"/>
        </w:rPr>
        <w:t>e demostrado el error de hecho que se</w:t>
      </w:r>
      <w:r w:rsidR="008E3BF3" w:rsidRPr="00E410D2">
        <w:rPr>
          <w:rFonts w:ascii="Bookman Old Style" w:eastAsia="Times New Roman" w:hAnsi="Bookman Old Style" w:cs="Open Sans"/>
          <w:sz w:val="28"/>
          <w:szCs w:val="28"/>
          <w:lang w:val="es-MX" w:eastAsia="es-MX"/>
        </w:rPr>
        <w:t xml:space="preserve"> le</w:t>
      </w:r>
      <w:r w:rsidR="00414991" w:rsidRPr="00E410D2">
        <w:rPr>
          <w:rFonts w:ascii="Bookman Old Style" w:eastAsia="Times New Roman" w:hAnsi="Bookman Old Style" w:cs="Open Sans"/>
          <w:sz w:val="28"/>
          <w:szCs w:val="28"/>
          <w:lang w:val="es-MX" w:eastAsia="es-MX"/>
        </w:rPr>
        <w:t xml:space="preserve"> </w:t>
      </w:r>
      <w:r w:rsidR="00414991" w:rsidRPr="00BD677A">
        <w:rPr>
          <w:rFonts w:ascii="Bookman Old Style" w:eastAsia="Times New Roman" w:hAnsi="Bookman Old Style" w:cs="Open Sans"/>
          <w:color w:val="000000" w:themeColor="text1"/>
          <w:sz w:val="28"/>
          <w:szCs w:val="28"/>
          <w:lang w:val="es-MX" w:eastAsia="es-MX"/>
        </w:rPr>
        <w:t>enrostra a</w:t>
      </w:r>
      <w:r w:rsidR="008E3BF3">
        <w:rPr>
          <w:rFonts w:ascii="Bookman Old Style" w:eastAsia="Times New Roman" w:hAnsi="Bookman Old Style" w:cs="Open Sans"/>
          <w:color w:val="000000" w:themeColor="text1"/>
          <w:sz w:val="28"/>
          <w:szCs w:val="28"/>
          <w:lang w:val="es-MX" w:eastAsia="es-MX"/>
        </w:rPr>
        <w:t>l fallo</w:t>
      </w:r>
      <w:r w:rsidR="00414991" w:rsidRPr="00BD677A">
        <w:rPr>
          <w:rFonts w:ascii="Bookman Old Style" w:eastAsia="Times New Roman" w:hAnsi="Bookman Old Style" w:cs="Open Sans"/>
          <w:color w:val="000000" w:themeColor="text1"/>
          <w:sz w:val="28"/>
          <w:szCs w:val="28"/>
          <w:lang w:val="es-MX" w:eastAsia="es-MX"/>
        </w:rPr>
        <w:t xml:space="preserve">. </w:t>
      </w:r>
      <w:r w:rsidR="00944E74">
        <w:rPr>
          <w:rFonts w:ascii="Bookman Old Style" w:eastAsia="Times New Roman" w:hAnsi="Bookman Old Style" w:cs="Open Sans"/>
          <w:color w:val="000000" w:themeColor="text1"/>
          <w:sz w:val="28"/>
          <w:szCs w:val="28"/>
          <w:lang w:val="es-MX" w:eastAsia="es-MX"/>
        </w:rPr>
        <w:t xml:space="preserve">Por el contrario, lo que se evidencia es que el </w:t>
      </w:r>
      <w:r w:rsidR="00143800">
        <w:rPr>
          <w:rFonts w:ascii="Bookman Old Style" w:eastAsia="Times New Roman" w:hAnsi="Bookman Old Style" w:cs="Open Sans"/>
          <w:color w:val="000000" w:themeColor="text1"/>
          <w:sz w:val="28"/>
          <w:szCs w:val="28"/>
          <w:lang w:val="es-MX" w:eastAsia="es-MX"/>
        </w:rPr>
        <w:t>T</w:t>
      </w:r>
      <w:r w:rsidR="00944E74">
        <w:rPr>
          <w:rFonts w:ascii="Bookman Old Style" w:eastAsia="Times New Roman" w:hAnsi="Bookman Old Style" w:cs="Open Sans"/>
          <w:color w:val="000000" w:themeColor="text1"/>
          <w:sz w:val="28"/>
          <w:szCs w:val="28"/>
          <w:lang w:val="es-MX" w:eastAsia="es-MX"/>
        </w:rPr>
        <w:t>ribunal interpretó sistem</w:t>
      </w:r>
      <w:r w:rsidR="00711B37">
        <w:rPr>
          <w:rFonts w:ascii="Bookman Old Style" w:eastAsia="Times New Roman" w:hAnsi="Bookman Old Style" w:cs="Open Sans"/>
          <w:color w:val="000000" w:themeColor="text1"/>
          <w:sz w:val="28"/>
          <w:szCs w:val="28"/>
          <w:lang w:val="es-MX" w:eastAsia="es-MX"/>
        </w:rPr>
        <w:t>á</w:t>
      </w:r>
      <w:r w:rsidR="00944E74">
        <w:rPr>
          <w:rFonts w:ascii="Bookman Old Style" w:eastAsia="Times New Roman" w:hAnsi="Bookman Old Style" w:cs="Open Sans"/>
          <w:color w:val="000000" w:themeColor="text1"/>
          <w:sz w:val="28"/>
          <w:szCs w:val="28"/>
          <w:lang w:val="es-MX" w:eastAsia="es-MX"/>
        </w:rPr>
        <w:t>ticame</w:t>
      </w:r>
      <w:r w:rsidR="00711B37">
        <w:rPr>
          <w:rFonts w:ascii="Bookman Old Style" w:eastAsia="Times New Roman" w:hAnsi="Bookman Old Style" w:cs="Open Sans"/>
          <w:color w:val="000000" w:themeColor="text1"/>
          <w:sz w:val="28"/>
          <w:szCs w:val="28"/>
          <w:lang w:val="es-MX" w:eastAsia="es-MX"/>
        </w:rPr>
        <w:t>n</w:t>
      </w:r>
      <w:r w:rsidR="00944E74">
        <w:rPr>
          <w:rFonts w:ascii="Bookman Old Style" w:eastAsia="Times New Roman" w:hAnsi="Bookman Old Style" w:cs="Open Sans"/>
          <w:color w:val="000000" w:themeColor="text1"/>
          <w:sz w:val="28"/>
          <w:szCs w:val="28"/>
          <w:lang w:val="es-MX" w:eastAsia="es-MX"/>
        </w:rPr>
        <w:t>te el cl</w:t>
      </w:r>
      <w:r w:rsidR="00711B37">
        <w:rPr>
          <w:rFonts w:ascii="Bookman Old Style" w:eastAsia="Times New Roman" w:hAnsi="Bookman Old Style" w:cs="Open Sans"/>
          <w:color w:val="000000" w:themeColor="text1"/>
          <w:sz w:val="28"/>
          <w:szCs w:val="28"/>
          <w:lang w:val="es-MX" w:eastAsia="es-MX"/>
        </w:rPr>
        <w:t>a</w:t>
      </w:r>
      <w:r w:rsidR="00944E74">
        <w:rPr>
          <w:rFonts w:ascii="Bookman Old Style" w:eastAsia="Times New Roman" w:hAnsi="Bookman Old Style" w:cs="Open Sans"/>
          <w:color w:val="000000" w:themeColor="text1"/>
          <w:sz w:val="28"/>
          <w:szCs w:val="28"/>
          <w:lang w:val="es-MX" w:eastAsia="es-MX"/>
        </w:rPr>
        <w:t>usulado</w:t>
      </w:r>
      <w:r w:rsidR="00E410D2">
        <w:rPr>
          <w:rFonts w:ascii="Bookman Old Style" w:eastAsia="Times New Roman" w:hAnsi="Bookman Old Style" w:cs="Open Sans"/>
          <w:color w:val="000000" w:themeColor="text1"/>
          <w:sz w:val="28"/>
          <w:szCs w:val="28"/>
          <w:lang w:val="es-MX" w:eastAsia="es-MX"/>
        </w:rPr>
        <w:t>. Y</w:t>
      </w:r>
      <w:r w:rsidR="00E410D2" w:rsidRPr="00923E19">
        <w:rPr>
          <w:rFonts w:ascii="Bookman Old Style" w:eastAsia="Times New Roman" w:hAnsi="Bookman Old Style" w:cs="Open Sans"/>
          <w:color w:val="000000" w:themeColor="text1"/>
          <w:sz w:val="28"/>
          <w:szCs w:val="28"/>
          <w:lang w:val="es-MX" w:eastAsia="es-MX"/>
        </w:rPr>
        <w:t xml:space="preserve">, además, que lo </w:t>
      </w:r>
      <w:r w:rsidR="00E410D2" w:rsidRPr="00923E19">
        <w:rPr>
          <w:rFonts w:ascii="Bookman Old Style" w:eastAsia="Times New Roman" w:hAnsi="Bookman Old Style" w:cs="Open Sans"/>
          <w:color w:val="000000" w:themeColor="text1"/>
          <w:sz w:val="28"/>
          <w:szCs w:val="28"/>
          <w:lang w:val="es-MX" w:eastAsia="es-MX"/>
        </w:rPr>
        <w:lastRenderedPageBreak/>
        <w:t>pretendido por el casacionista es la imposición de su especial interpretación de las condiciones generales del negocio jurídico, ejercicio que, como ya se dijo, es inadmisible en esta instancia procesal.</w:t>
      </w:r>
      <w:r w:rsidR="00E410D2">
        <w:rPr>
          <w:rFonts w:ascii="Bookman Old Style" w:eastAsia="Times New Roman" w:hAnsi="Bookman Old Style" w:cs="Open Sans"/>
          <w:color w:val="000000" w:themeColor="text1"/>
          <w:sz w:val="28"/>
          <w:szCs w:val="28"/>
          <w:lang w:val="es-MX" w:eastAsia="es-MX"/>
        </w:rPr>
        <w:t xml:space="preserve"> </w:t>
      </w:r>
    </w:p>
    <w:p w14:paraId="652E2872" w14:textId="77777777" w:rsidR="00B66C95" w:rsidRDefault="00B66C95" w:rsidP="00F92684">
      <w:pPr>
        <w:spacing w:after="0" w:line="360" w:lineRule="auto"/>
        <w:ind w:firstLine="709"/>
        <w:jc w:val="both"/>
        <w:rPr>
          <w:rFonts w:ascii="Bookman Old Style" w:eastAsia="Times New Roman" w:hAnsi="Bookman Old Style" w:cs="Open Sans"/>
          <w:color w:val="000000" w:themeColor="text1"/>
          <w:sz w:val="28"/>
          <w:szCs w:val="28"/>
          <w:lang w:val="es-MX" w:eastAsia="es-MX"/>
        </w:rPr>
      </w:pPr>
    </w:p>
    <w:p w14:paraId="76EF5D26" w14:textId="38358F25" w:rsidR="00D05E58" w:rsidRPr="00D05E58" w:rsidRDefault="00D05E58" w:rsidP="00F92684">
      <w:pPr>
        <w:spacing w:after="0" w:line="360" w:lineRule="auto"/>
        <w:ind w:firstLine="709"/>
        <w:jc w:val="both"/>
        <w:rPr>
          <w:rFonts w:ascii="Bookman Old Style" w:hAnsi="Bookman Old Style"/>
          <w:sz w:val="28"/>
          <w:szCs w:val="28"/>
          <w:lang w:eastAsia="es-CO"/>
        </w:rPr>
      </w:pPr>
      <w:r w:rsidRPr="00D05E58">
        <w:rPr>
          <w:rFonts w:ascii="Bookman Old Style" w:eastAsia="Times New Roman" w:hAnsi="Bookman Old Style" w:cs="Open Sans"/>
          <w:color w:val="000000" w:themeColor="text1"/>
          <w:sz w:val="28"/>
          <w:szCs w:val="28"/>
          <w:lang w:val="es-MX" w:eastAsia="es-MX"/>
        </w:rPr>
        <w:t>Bajo esa pe</w:t>
      </w:r>
      <w:r w:rsidR="00711B37">
        <w:rPr>
          <w:rFonts w:ascii="Bookman Old Style" w:eastAsia="Times New Roman" w:hAnsi="Bookman Old Style" w:cs="Open Sans"/>
          <w:color w:val="000000" w:themeColor="text1"/>
          <w:sz w:val="28"/>
          <w:szCs w:val="28"/>
          <w:lang w:val="es-MX" w:eastAsia="es-MX"/>
        </w:rPr>
        <w:t>r</w:t>
      </w:r>
      <w:r w:rsidRPr="00D05E58">
        <w:rPr>
          <w:rFonts w:ascii="Bookman Old Style" w:eastAsia="Times New Roman" w:hAnsi="Bookman Old Style" w:cs="Open Sans"/>
          <w:color w:val="000000" w:themeColor="text1"/>
          <w:sz w:val="28"/>
          <w:szCs w:val="28"/>
          <w:lang w:val="es-MX" w:eastAsia="es-MX"/>
        </w:rPr>
        <w:t>spectiva</w:t>
      </w:r>
      <w:r w:rsidRPr="00D05E58">
        <w:rPr>
          <w:rFonts w:ascii="Bookman Old Style" w:hAnsi="Bookman Old Style"/>
          <w:sz w:val="28"/>
          <w:szCs w:val="28"/>
          <w:lang w:eastAsia="es-CO"/>
        </w:rPr>
        <w:t xml:space="preserve">, en el ámbito del recurso de casación está averiguado que, si del texto convencional se descubren varios sentidos razonables, la elección que de uno de ellos haga el Tribunal ha de ser respetada y mantenida por la Corte. </w:t>
      </w:r>
    </w:p>
    <w:p w14:paraId="57D58293" w14:textId="77777777" w:rsidR="00D05E58" w:rsidRPr="00D05E58" w:rsidRDefault="00D05E58" w:rsidP="00F92684">
      <w:pPr>
        <w:spacing w:after="0"/>
        <w:ind w:firstLine="709"/>
        <w:jc w:val="both"/>
        <w:rPr>
          <w:rFonts w:ascii="Bookman Old Style" w:hAnsi="Bookman Old Style"/>
          <w:sz w:val="24"/>
          <w:szCs w:val="24"/>
          <w:lang w:eastAsia="es-CO"/>
        </w:rPr>
      </w:pPr>
    </w:p>
    <w:p w14:paraId="3427CB1E" w14:textId="4ECC019E" w:rsidR="00D05E58" w:rsidRPr="00AC62C1" w:rsidRDefault="00AC62C1" w:rsidP="00F92684">
      <w:pPr>
        <w:spacing w:after="0"/>
        <w:ind w:left="709"/>
        <w:jc w:val="both"/>
        <w:rPr>
          <w:rFonts w:ascii="Bookman Old Style" w:hAnsi="Bookman Old Style"/>
          <w:sz w:val="24"/>
          <w:szCs w:val="24"/>
          <w:lang w:eastAsia="es-CO"/>
        </w:rPr>
      </w:pPr>
      <w:r>
        <w:rPr>
          <w:rFonts w:ascii="Bookman Old Style" w:hAnsi="Bookman Old Style"/>
          <w:i/>
          <w:iCs/>
          <w:sz w:val="24"/>
          <w:szCs w:val="24"/>
          <w:lang w:eastAsia="es-CO"/>
        </w:rPr>
        <w:t>«</w:t>
      </w:r>
      <w:r w:rsidR="00D05E58" w:rsidRPr="00AC62C1">
        <w:rPr>
          <w:rFonts w:ascii="Bookman Old Style" w:hAnsi="Bookman Old Style"/>
          <w:i/>
          <w:iCs/>
          <w:sz w:val="24"/>
          <w:szCs w:val="24"/>
          <w:lang w:eastAsia="es-CO"/>
        </w:rPr>
        <w:t xml:space="preserve">Cuando una cláusula se presta a dos interpretaciones razonables o siquiera posibles, la adopción de cualquiera de ellas por el sentenciador no genera error evidente, puesto que donde hay duda no puede haber error manifiesto en la interpretación (Cas. </w:t>
      </w:r>
      <w:proofErr w:type="spellStart"/>
      <w:r w:rsidR="00D05E58" w:rsidRPr="00AC62C1">
        <w:rPr>
          <w:rFonts w:ascii="Bookman Old Style" w:hAnsi="Bookman Old Style"/>
          <w:i/>
          <w:iCs/>
          <w:sz w:val="24"/>
          <w:szCs w:val="24"/>
          <w:lang w:eastAsia="es-CO"/>
        </w:rPr>
        <w:t>Civ</w:t>
      </w:r>
      <w:proofErr w:type="spellEnd"/>
      <w:r w:rsidR="00D05E58" w:rsidRPr="00AC62C1">
        <w:rPr>
          <w:rFonts w:ascii="Bookman Old Style" w:hAnsi="Bookman Old Style"/>
          <w:i/>
          <w:iCs/>
          <w:sz w:val="24"/>
          <w:szCs w:val="24"/>
          <w:lang w:eastAsia="es-CO"/>
        </w:rPr>
        <w:t xml:space="preserve">. de 3 de julio de 1969, CXXXI, 14). Y es apenas obvio que el yerro de facto, cuya característica fundamental es el de que sea evidente, o como lo observa la doctrina de esta Corporación, que salte de bulto o brille al ojo, sólo se presenta cuando la única estimación acertada sea la sustitutiva que se propone. Por manera que la demostración del cargo ha de conducir al convencimiento de la contraevidencia, inconcebible cuando el resultado que se censura es producto de sopesar distintas posibilidades, que termina con la escogencia de la más probable, “sin que ninguna de ellas esté plenamente contradicha por las otras pruebas del proceso” (Cas. </w:t>
      </w:r>
      <w:proofErr w:type="spellStart"/>
      <w:r w:rsidR="00D05E58" w:rsidRPr="00AC62C1">
        <w:rPr>
          <w:rFonts w:ascii="Bookman Old Style" w:hAnsi="Bookman Old Style"/>
          <w:i/>
          <w:iCs/>
          <w:sz w:val="24"/>
          <w:szCs w:val="24"/>
          <w:lang w:eastAsia="es-CO"/>
        </w:rPr>
        <w:t>Civ</w:t>
      </w:r>
      <w:proofErr w:type="spellEnd"/>
      <w:r w:rsidR="00D05E58" w:rsidRPr="00AC62C1">
        <w:rPr>
          <w:rFonts w:ascii="Bookman Old Style" w:hAnsi="Bookman Old Style"/>
          <w:i/>
          <w:iCs/>
          <w:sz w:val="24"/>
          <w:szCs w:val="24"/>
          <w:lang w:eastAsia="es-CO"/>
        </w:rPr>
        <w:t xml:space="preserve">. de 30 de noviembre de 1962, XCVIII, 21; 4 mayo de 1968, aún no publicada; 20 de mayo de 1970, CXXXIV, 146 y 147)” </w:t>
      </w:r>
      <w:r w:rsidR="00D05E58" w:rsidRPr="00AC62C1">
        <w:rPr>
          <w:rFonts w:ascii="Bookman Old Style" w:hAnsi="Bookman Old Style"/>
          <w:sz w:val="24"/>
          <w:szCs w:val="24"/>
          <w:lang w:eastAsia="es-CO"/>
        </w:rPr>
        <w:t>(CSJ SC del 6 de agosto de 1985)</w:t>
      </w:r>
      <w:r>
        <w:rPr>
          <w:rFonts w:ascii="Bookman Old Style" w:hAnsi="Bookman Old Style"/>
          <w:sz w:val="24"/>
          <w:szCs w:val="24"/>
          <w:lang w:eastAsia="es-CO"/>
        </w:rPr>
        <w:t>»</w:t>
      </w:r>
      <w:r w:rsidR="00D05E58" w:rsidRPr="00AC62C1">
        <w:rPr>
          <w:rFonts w:ascii="Bookman Old Style" w:hAnsi="Bookman Old Style"/>
          <w:sz w:val="24"/>
          <w:szCs w:val="24"/>
          <w:lang w:eastAsia="es-CO"/>
        </w:rPr>
        <w:t>.</w:t>
      </w:r>
    </w:p>
    <w:p w14:paraId="761FF6FF" w14:textId="43538900" w:rsidR="00A7278F" w:rsidRPr="00AC62C1" w:rsidRDefault="00A7278F" w:rsidP="00F92684">
      <w:pPr>
        <w:spacing w:after="0" w:line="360" w:lineRule="auto"/>
        <w:ind w:firstLine="709"/>
        <w:jc w:val="both"/>
        <w:rPr>
          <w:rFonts w:ascii="Bookman Old Style" w:eastAsia="Times New Roman" w:hAnsi="Bookman Old Style" w:cs="Open Sans"/>
          <w:color w:val="000000" w:themeColor="text1"/>
          <w:sz w:val="28"/>
          <w:szCs w:val="28"/>
          <w:lang w:val="es-MX" w:eastAsia="es-MX"/>
        </w:rPr>
      </w:pPr>
    </w:p>
    <w:p w14:paraId="5C1BEED1" w14:textId="2DB79F14" w:rsidR="00F34DDF" w:rsidRPr="00AC62C1" w:rsidRDefault="00E410D2" w:rsidP="00F92684">
      <w:pPr>
        <w:spacing w:after="0" w:line="360" w:lineRule="auto"/>
        <w:ind w:firstLine="709"/>
        <w:jc w:val="both"/>
        <w:rPr>
          <w:rFonts w:ascii="Bookman Old Style" w:eastAsia="Times New Roman" w:hAnsi="Bookman Old Style" w:cs="Open Sans"/>
          <w:sz w:val="28"/>
          <w:szCs w:val="28"/>
          <w:lang w:val="es-MX" w:eastAsia="es-MX"/>
        </w:rPr>
      </w:pPr>
      <w:r w:rsidRPr="00AC62C1">
        <w:rPr>
          <w:rFonts w:ascii="Bookman Old Style" w:eastAsia="Times New Roman" w:hAnsi="Bookman Old Style" w:cs="Open Sans"/>
          <w:sz w:val="28"/>
          <w:szCs w:val="28"/>
          <w:lang w:val="es-MX" w:eastAsia="es-MX"/>
        </w:rPr>
        <w:t>4.4.</w:t>
      </w:r>
      <w:r w:rsidR="00D05E58" w:rsidRPr="00AC62C1">
        <w:rPr>
          <w:rFonts w:ascii="Bookman Old Style" w:eastAsia="Times New Roman" w:hAnsi="Bookman Old Style" w:cs="Open Sans"/>
          <w:sz w:val="28"/>
          <w:szCs w:val="28"/>
          <w:lang w:val="es-MX" w:eastAsia="es-MX"/>
        </w:rPr>
        <w:t xml:space="preserve"> </w:t>
      </w:r>
      <w:r w:rsidRPr="00AC62C1">
        <w:rPr>
          <w:rFonts w:ascii="Bookman Old Style" w:eastAsia="Times New Roman" w:hAnsi="Bookman Old Style" w:cs="Open Sans"/>
          <w:sz w:val="28"/>
          <w:szCs w:val="28"/>
          <w:lang w:val="es-MX" w:eastAsia="es-MX"/>
        </w:rPr>
        <w:t xml:space="preserve">Tampoco se </w:t>
      </w:r>
      <w:r w:rsidR="006E2494">
        <w:rPr>
          <w:rFonts w:ascii="Bookman Old Style" w:eastAsia="Times New Roman" w:hAnsi="Bookman Old Style" w:cs="Open Sans"/>
          <w:sz w:val="28"/>
          <w:szCs w:val="28"/>
          <w:lang w:val="es-MX" w:eastAsia="es-MX"/>
        </w:rPr>
        <w:t>encuentra</w:t>
      </w:r>
      <w:r w:rsidRPr="00AC62C1">
        <w:rPr>
          <w:rFonts w:ascii="Bookman Old Style" w:eastAsia="Times New Roman" w:hAnsi="Bookman Old Style" w:cs="Open Sans"/>
          <w:sz w:val="28"/>
          <w:szCs w:val="28"/>
          <w:lang w:val="es-MX" w:eastAsia="es-MX"/>
        </w:rPr>
        <w:t xml:space="preserve"> acreditado el supuesto cercenamiento del documento contentivo de la cotización efectuada al asegurado. </w:t>
      </w:r>
      <w:r w:rsidR="00F34DDF" w:rsidRPr="00AC62C1">
        <w:rPr>
          <w:rFonts w:ascii="Bookman Old Style" w:eastAsia="Times New Roman" w:hAnsi="Bookman Old Style" w:cs="Open Sans"/>
          <w:sz w:val="28"/>
          <w:szCs w:val="28"/>
          <w:lang w:val="es-MX" w:eastAsia="es-MX"/>
        </w:rPr>
        <w:t xml:space="preserve">Frente dicho medio suasorio, </w:t>
      </w:r>
      <w:r w:rsidR="005C442F" w:rsidRPr="00AC62C1">
        <w:rPr>
          <w:rFonts w:ascii="Bookman Old Style" w:eastAsia="Times New Roman" w:hAnsi="Bookman Old Style" w:cs="Open Sans"/>
          <w:sz w:val="28"/>
          <w:szCs w:val="28"/>
          <w:lang w:val="es-MX" w:eastAsia="es-MX"/>
        </w:rPr>
        <w:t>el Tribunal señal</w:t>
      </w:r>
      <w:r w:rsidR="00DA0A3A" w:rsidRPr="00AC62C1">
        <w:rPr>
          <w:rFonts w:ascii="Bookman Old Style" w:eastAsia="Times New Roman" w:hAnsi="Bookman Old Style" w:cs="Open Sans"/>
          <w:sz w:val="28"/>
          <w:szCs w:val="28"/>
          <w:lang w:val="es-MX" w:eastAsia="es-MX"/>
        </w:rPr>
        <w:t>ó</w:t>
      </w:r>
      <w:r w:rsidR="00F34DDF" w:rsidRPr="00AC62C1">
        <w:rPr>
          <w:rFonts w:ascii="Bookman Old Style" w:eastAsia="Times New Roman" w:hAnsi="Bookman Old Style" w:cs="Open Sans"/>
          <w:sz w:val="28"/>
          <w:szCs w:val="28"/>
          <w:lang w:val="es-MX" w:eastAsia="es-MX"/>
        </w:rPr>
        <w:t xml:space="preserve"> que</w:t>
      </w:r>
      <w:r w:rsidR="005C442F" w:rsidRPr="00AC62C1">
        <w:rPr>
          <w:rFonts w:ascii="Bookman Old Style" w:eastAsia="Times New Roman" w:hAnsi="Bookman Old Style" w:cs="Open Sans"/>
          <w:sz w:val="28"/>
          <w:szCs w:val="28"/>
          <w:lang w:val="es-MX" w:eastAsia="es-MX"/>
        </w:rPr>
        <w:t xml:space="preserve"> </w:t>
      </w:r>
    </w:p>
    <w:p w14:paraId="0BDF8682" w14:textId="77777777" w:rsidR="00F34DDF" w:rsidRPr="00AC62C1" w:rsidRDefault="00F34DDF" w:rsidP="00F92684">
      <w:pPr>
        <w:spacing w:after="0" w:line="360" w:lineRule="auto"/>
        <w:ind w:firstLine="709"/>
        <w:jc w:val="both"/>
        <w:rPr>
          <w:rFonts w:ascii="Bookman Old Style" w:eastAsia="Times New Roman" w:hAnsi="Bookman Old Style" w:cs="Open Sans"/>
          <w:sz w:val="28"/>
          <w:szCs w:val="28"/>
          <w:lang w:val="es-MX" w:eastAsia="es-MX"/>
        </w:rPr>
      </w:pPr>
    </w:p>
    <w:p w14:paraId="0E545FFD" w14:textId="6B0A8642" w:rsidR="00F34DDF" w:rsidRPr="00AC62C1" w:rsidRDefault="00DA0A3A" w:rsidP="00F92684">
      <w:pPr>
        <w:spacing w:after="0"/>
        <w:ind w:left="709"/>
        <w:jc w:val="both"/>
        <w:rPr>
          <w:rFonts w:ascii="Bookman Old Style" w:eastAsia="Times New Roman" w:hAnsi="Bookman Old Style" w:cs="Open Sans"/>
          <w:i/>
          <w:iCs/>
          <w:sz w:val="28"/>
          <w:szCs w:val="28"/>
          <w:lang w:val="es-MX" w:eastAsia="es-MX"/>
        </w:rPr>
      </w:pPr>
      <w:r w:rsidRPr="00AC62C1">
        <w:rPr>
          <w:rFonts w:ascii="Bookman Old Style" w:eastAsia="Times New Roman" w:hAnsi="Bookman Old Style" w:cs="Open Sans"/>
          <w:sz w:val="24"/>
          <w:szCs w:val="24"/>
          <w:lang w:val="es-MX" w:eastAsia="es-MX"/>
        </w:rPr>
        <w:t>«</w:t>
      </w:r>
      <w:r w:rsidRPr="00AC62C1">
        <w:rPr>
          <w:rFonts w:ascii="Bookman Old Style" w:eastAsia="Times New Roman" w:hAnsi="Bookman Old Style" w:cs="Open Sans"/>
          <w:i/>
          <w:iCs/>
          <w:sz w:val="24"/>
          <w:szCs w:val="24"/>
          <w:lang w:val="es-MX" w:eastAsia="es-MX"/>
        </w:rPr>
        <w:t>No hay prueba que de cuenta que el aseguramiento se encontraba condicionado a circun</w:t>
      </w:r>
      <w:r w:rsidR="00A10D44" w:rsidRPr="00AC62C1">
        <w:rPr>
          <w:rFonts w:ascii="Bookman Old Style" w:eastAsia="Times New Roman" w:hAnsi="Bookman Old Style" w:cs="Open Sans"/>
          <w:i/>
          <w:iCs/>
          <w:sz w:val="24"/>
          <w:szCs w:val="24"/>
          <w:lang w:val="es-MX" w:eastAsia="es-MX"/>
        </w:rPr>
        <w:t>s</w:t>
      </w:r>
      <w:r w:rsidRPr="00AC62C1">
        <w:rPr>
          <w:rFonts w:ascii="Bookman Old Style" w:eastAsia="Times New Roman" w:hAnsi="Bookman Old Style" w:cs="Open Sans"/>
          <w:i/>
          <w:iCs/>
          <w:sz w:val="24"/>
          <w:szCs w:val="24"/>
          <w:lang w:val="es-MX" w:eastAsia="es-MX"/>
        </w:rPr>
        <w:t>ta</w:t>
      </w:r>
      <w:r w:rsidR="00711B37" w:rsidRPr="00AC62C1">
        <w:rPr>
          <w:rFonts w:ascii="Bookman Old Style" w:eastAsia="Times New Roman" w:hAnsi="Bookman Old Style" w:cs="Open Sans"/>
          <w:i/>
          <w:iCs/>
          <w:sz w:val="24"/>
          <w:szCs w:val="24"/>
          <w:lang w:val="es-MX" w:eastAsia="es-MX"/>
        </w:rPr>
        <w:t>n</w:t>
      </w:r>
      <w:r w:rsidRPr="00AC62C1">
        <w:rPr>
          <w:rFonts w:ascii="Bookman Old Style" w:eastAsia="Times New Roman" w:hAnsi="Bookman Old Style" w:cs="Open Sans"/>
          <w:i/>
          <w:iCs/>
          <w:sz w:val="24"/>
          <w:szCs w:val="24"/>
          <w:lang w:val="es-MX" w:eastAsia="es-MX"/>
        </w:rPr>
        <w:t xml:space="preserve">cias adicionales a que el tomador </w:t>
      </w:r>
      <w:r w:rsidRPr="00AC62C1">
        <w:rPr>
          <w:rFonts w:ascii="Bookman Old Style" w:eastAsia="Times New Roman" w:hAnsi="Bookman Old Style" w:cs="Open Sans"/>
          <w:i/>
          <w:iCs/>
          <w:sz w:val="24"/>
          <w:szCs w:val="24"/>
          <w:lang w:val="es-MX" w:eastAsia="es-MX"/>
        </w:rPr>
        <w:lastRenderedPageBreak/>
        <w:t>hubiere cancelado las ocho (8) primas anuales acordadas.</w:t>
      </w:r>
      <w:r w:rsidR="00F34DDF" w:rsidRPr="00AC62C1">
        <w:rPr>
          <w:rFonts w:ascii="Bookman Old Style" w:eastAsia="Times New Roman" w:hAnsi="Bookman Old Style" w:cs="Open Sans"/>
          <w:i/>
          <w:iCs/>
          <w:sz w:val="24"/>
          <w:szCs w:val="24"/>
          <w:lang w:val="es-MX" w:eastAsia="es-MX"/>
        </w:rPr>
        <w:t xml:space="preserve"> </w:t>
      </w:r>
      <w:r w:rsidRPr="00AC62C1">
        <w:rPr>
          <w:rFonts w:ascii="Bookman Old Style" w:eastAsia="Times New Roman" w:hAnsi="Bookman Old Style" w:cs="Open Sans"/>
          <w:i/>
          <w:iCs/>
          <w:sz w:val="24"/>
          <w:szCs w:val="24"/>
          <w:lang w:val="es-MX" w:eastAsia="es-MX"/>
        </w:rPr>
        <w:t>(...) que ciertamente, lo que se observa en la documental referida, es que el asegurado har</w:t>
      </w:r>
      <w:r w:rsidR="00711B37" w:rsidRPr="00AC62C1">
        <w:rPr>
          <w:rFonts w:ascii="Bookman Old Style" w:eastAsia="Times New Roman" w:hAnsi="Bookman Old Style" w:cs="Open Sans"/>
          <w:i/>
          <w:iCs/>
          <w:sz w:val="24"/>
          <w:szCs w:val="24"/>
          <w:lang w:val="es-MX" w:eastAsia="es-MX"/>
        </w:rPr>
        <w:t>í</w:t>
      </w:r>
      <w:r w:rsidRPr="00AC62C1">
        <w:rPr>
          <w:rFonts w:ascii="Bookman Old Style" w:eastAsia="Times New Roman" w:hAnsi="Bookman Old Style" w:cs="Open Sans"/>
          <w:i/>
          <w:iCs/>
          <w:sz w:val="24"/>
          <w:szCs w:val="24"/>
          <w:lang w:val="es-MX" w:eastAsia="es-MX"/>
        </w:rPr>
        <w:t>a (8) únicos pagos, con los cuales se cubriría el total de</w:t>
      </w:r>
      <w:r w:rsidR="00A10D44" w:rsidRPr="00AC62C1">
        <w:rPr>
          <w:rFonts w:ascii="Bookman Old Style" w:eastAsia="Times New Roman" w:hAnsi="Bookman Old Style" w:cs="Open Sans"/>
          <w:i/>
          <w:iCs/>
          <w:sz w:val="24"/>
          <w:szCs w:val="24"/>
          <w:lang w:val="es-MX" w:eastAsia="es-MX"/>
        </w:rPr>
        <w:t xml:space="preserve"> las primas de riesgo, generado con ello un valor de cesión el cual fue calcul</w:t>
      </w:r>
      <w:r w:rsidR="00711B37" w:rsidRPr="00AC62C1">
        <w:rPr>
          <w:rFonts w:ascii="Bookman Old Style" w:eastAsia="Times New Roman" w:hAnsi="Bookman Old Style" w:cs="Open Sans"/>
          <w:i/>
          <w:iCs/>
          <w:sz w:val="24"/>
          <w:szCs w:val="24"/>
          <w:lang w:val="es-MX" w:eastAsia="es-MX"/>
        </w:rPr>
        <w:t>a</w:t>
      </w:r>
      <w:r w:rsidR="00A10D44" w:rsidRPr="00AC62C1">
        <w:rPr>
          <w:rFonts w:ascii="Bookman Old Style" w:eastAsia="Times New Roman" w:hAnsi="Bookman Old Style" w:cs="Open Sans"/>
          <w:i/>
          <w:iCs/>
          <w:sz w:val="24"/>
          <w:szCs w:val="24"/>
          <w:lang w:val="es-MX" w:eastAsia="es-MX"/>
        </w:rPr>
        <w:t>do hasta el año 2043, con un rendimie</w:t>
      </w:r>
      <w:r w:rsidR="00711B37" w:rsidRPr="00AC62C1">
        <w:rPr>
          <w:rFonts w:ascii="Bookman Old Style" w:eastAsia="Times New Roman" w:hAnsi="Bookman Old Style" w:cs="Open Sans"/>
          <w:i/>
          <w:iCs/>
          <w:sz w:val="24"/>
          <w:szCs w:val="24"/>
          <w:lang w:val="es-MX" w:eastAsia="es-MX"/>
        </w:rPr>
        <w:t>n</w:t>
      </w:r>
      <w:r w:rsidR="00A10D44" w:rsidRPr="00AC62C1">
        <w:rPr>
          <w:rFonts w:ascii="Bookman Old Style" w:eastAsia="Times New Roman" w:hAnsi="Bookman Old Style" w:cs="Open Sans"/>
          <w:i/>
          <w:iCs/>
          <w:sz w:val="24"/>
          <w:szCs w:val="24"/>
          <w:lang w:val="es-MX" w:eastAsia="es-MX"/>
        </w:rPr>
        <w:t>to del 24%. Adem</w:t>
      </w:r>
      <w:r w:rsidR="00711B37" w:rsidRPr="00AC62C1">
        <w:rPr>
          <w:rFonts w:ascii="Bookman Old Style" w:eastAsia="Times New Roman" w:hAnsi="Bookman Old Style" w:cs="Open Sans"/>
          <w:i/>
          <w:iCs/>
          <w:sz w:val="24"/>
          <w:szCs w:val="24"/>
          <w:lang w:val="es-MX" w:eastAsia="es-MX"/>
        </w:rPr>
        <w:t>á</w:t>
      </w:r>
      <w:r w:rsidR="00A10D44" w:rsidRPr="00AC62C1">
        <w:rPr>
          <w:rFonts w:ascii="Bookman Old Style" w:eastAsia="Times New Roman" w:hAnsi="Bookman Old Style" w:cs="Open Sans"/>
          <w:i/>
          <w:iCs/>
          <w:sz w:val="24"/>
          <w:szCs w:val="24"/>
          <w:lang w:val="es-MX" w:eastAsia="es-MX"/>
        </w:rPr>
        <w:t>s, no se señala que una vez vencida la octava anualidad de la póliza con el pago No 8, existirían más primas de riesgo o protecci</w:t>
      </w:r>
      <w:r w:rsidR="00711B37" w:rsidRPr="00AC62C1">
        <w:rPr>
          <w:rFonts w:ascii="Bookman Old Style" w:eastAsia="Times New Roman" w:hAnsi="Bookman Old Style" w:cs="Open Sans"/>
          <w:i/>
          <w:iCs/>
          <w:sz w:val="24"/>
          <w:szCs w:val="24"/>
          <w:lang w:val="es-MX" w:eastAsia="es-MX"/>
        </w:rPr>
        <w:t>ó</w:t>
      </w:r>
      <w:r w:rsidR="00A10D44" w:rsidRPr="00AC62C1">
        <w:rPr>
          <w:rFonts w:ascii="Bookman Old Style" w:eastAsia="Times New Roman" w:hAnsi="Bookman Old Style" w:cs="Open Sans"/>
          <w:i/>
          <w:iCs/>
          <w:sz w:val="24"/>
          <w:szCs w:val="24"/>
          <w:lang w:val="es-MX" w:eastAsia="es-MX"/>
        </w:rPr>
        <w:t>n por cubrir por parte del tomador, y que si las mismas no eran satisfechas dentro de determinado plazo aquellas se cub</w:t>
      </w:r>
      <w:r w:rsidR="00711B37" w:rsidRPr="00AC62C1">
        <w:rPr>
          <w:rFonts w:ascii="Bookman Old Style" w:eastAsia="Times New Roman" w:hAnsi="Bookman Old Style" w:cs="Open Sans"/>
          <w:i/>
          <w:iCs/>
          <w:sz w:val="24"/>
          <w:szCs w:val="24"/>
          <w:lang w:val="es-MX" w:eastAsia="es-MX"/>
        </w:rPr>
        <w:t>r</w:t>
      </w:r>
      <w:r w:rsidR="00A10D44" w:rsidRPr="00AC62C1">
        <w:rPr>
          <w:rFonts w:ascii="Bookman Old Style" w:eastAsia="Times New Roman" w:hAnsi="Bookman Old Style" w:cs="Open Sans"/>
          <w:i/>
          <w:iCs/>
          <w:sz w:val="24"/>
          <w:szCs w:val="24"/>
          <w:lang w:val="es-MX" w:eastAsia="es-MX"/>
        </w:rPr>
        <w:t>ir</w:t>
      </w:r>
      <w:r w:rsidR="00711B37" w:rsidRPr="00AC62C1">
        <w:rPr>
          <w:rFonts w:ascii="Bookman Old Style" w:eastAsia="Times New Roman" w:hAnsi="Bookman Old Style" w:cs="Open Sans"/>
          <w:i/>
          <w:iCs/>
          <w:sz w:val="24"/>
          <w:szCs w:val="24"/>
          <w:lang w:val="es-MX" w:eastAsia="es-MX"/>
        </w:rPr>
        <w:t>í</w:t>
      </w:r>
      <w:r w:rsidR="00A10D44" w:rsidRPr="00AC62C1">
        <w:rPr>
          <w:rFonts w:ascii="Bookman Old Style" w:eastAsia="Times New Roman" w:hAnsi="Bookman Old Style" w:cs="Open Sans"/>
          <w:i/>
          <w:iCs/>
          <w:sz w:val="24"/>
          <w:szCs w:val="24"/>
          <w:lang w:val="es-MX" w:eastAsia="es-MX"/>
        </w:rPr>
        <w:t>an con los valores de cesión acumulados</w:t>
      </w:r>
      <w:r w:rsidRPr="00AC62C1">
        <w:rPr>
          <w:rFonts w:ascii="Bookman Old Style" w:eastAsia="Times New Roman" w:hAnsi="Bookman Old Style" w:cs="Open Sans"/>
          <w:i/>
          <w:iCs/>
          <w:sz w:val="24"/>
          <w:szCs w:val="24"/>
          <w:lang w:val="es-MX" w:eastAsia="es-MX"/>
        </w:rPr>
        <w:t>»</w:t>
      </w:r>
      <w:r w:rsidR="0077569A" w:rsidRPr="00AC62C1">
        <w:rPr>
          <w:rStyle w:val="Refdenotaalpie"/>
          <w:rFonts w:ascii="Bookman Old Style" w:eastAsia="Times New Roman" w:hAnsi="Bookman Old Style" w:cs="Open Sans"/>
          <w:i/>
          <w:iCs/>
          <w:sz w:val="24"/>
          <w:szCs w:val="24"/>
          <w:lang w:val="es-MX" w:eastAsia="es-MX"/>
        </w:rPr>
        <w:footnoteReference w:id="33"/>
      </w:r>
      <w:r w:rsidRPr="00AC62C1">
        <w:rPr>
          <w:rFonts w:ascii="Bookman Old Style" w:eastAsia="Times New Roman" w:hAnsi="Bookman Old Style" w:cs="Open Sans"/>
          <w:i/>
          <w:iCs/>
          <w:sz w:val="24"/>
          <w:szCs w:val="24"/>
          <w:lang w:val="es-MX" w:eastAsia="es-MX"/>
        </w:rPr>
        <w:t xml:space="preserve">. </w:t>
      </w:r>
      <w:r w:rsidR="00A10D44" w:rsidRPr="00AC62C1">
        <w:rPr>
          <w:rFonts w:ascii="Bookman Old Style" w:eastAsia="Times New Roman" w:hAnsi="Bookman Old Style" w:cs="Open Sans"/>
          <w:i/>
          <w:iCs/>
          <w:sz w:val="28"/>
          <w:szCs w:val="28"/>
          <w:lang w:val="es-MX" w:eastAsia="es-MX"/>
        </w:rPr>
        <w:t xml:space="preserve"> </w:t>
      </w:r>
    </w:p>
    <w:p w14:paraId="6D7B8D1F" w14:textId="77777777" w:rsidR="00F34DDF" w:rsidRPr="00AC62C1" w:rsidRDefault="00F34DDF" w:rsidP="00F92684">
      <w:pPr>
        <w:spacing w:after="0" w:line="360" w:lineRule="auto"/>
        <w:ind w:firstLine="709"/>
        <w:jc w:val="both"/>
        <w:rPr>
          <w:rFonts w:ascii="Bookman Old Style" w:eastAsia="Times New Roman" w:hAnsi="Bookman Old Style" w:cs="Open Sans"/>
          <w:i/>
          <w:iCs/>
          <w:sz w:val="28"/>
          <w:szCs w:val="28"/>
          <w:lang w:val="es-MX" w:eastAsia="es-MX"/>
        </w:rPr>
      </w:pPr>
    </w:p>
    <w:p w14:paraId="54B0DAF5" w14:textId="04FB9D1A" w:rsidR="00E410D2" w:rsidRPr="006E2494" w:rsidRDefault="00F34DDF" w:rsidP="006E2494">
      <w:pPr>
        <w:spacing w:after="0" w:line="360" w:lineRule="auto"/>
        <w:ind w:firstLine="709"/>
        <w:jc w:val="both"/>
        <w:rPr>
          <w:rFonts w:ascii="Bookman Old Style" w:eastAsia="Times New Roman" w:hAnsi="Bookman Old Style" w:cs="Open Sans"/>
          <w:sz w:val="28"/>
          <w:szCs w:val="28"/>
          <w:lang w:val="es-MX" w:eastAsia="es-MX"/>
        </w:rPr>
      </w:pPr>
      <w:r w:rsidRPr="00AC62C1">
        <w:rPr>
          <w:rFonts w:ascii="Bookman Old Style" w:eastAsia="Times New Roman" w:hAnsi="Bookman Old Style" w:cs="Open Sans"/>
          <w:sz w:val="28"/>
          <w:szCs w:val="28"/>
          <w:lang w:val="es-MX" w:eastAsia="es-MX"/>
        </w:rPr>
        <w:t xml:space="preserve">Y es que, en efecto, al </w:t>
      </w:r>
      <w:r w:rsidR="00F57DBE" w:rsidRPr="00AC62C1">
        <w:rPr>
          <w:rFonts w:ascii="Bookman Old Style" w:eastAsia="Times New Roman" w:hAnsi="Bookman Old Style" w:cs="Open Sans"/>
          <w:sz w:val="28"/>
          <w:szCs w:val="28"/>
          <w:lang w:val="es-MX" w:eastAsia="es-MX"/>
        </w:rPr>
        <w:t>analizar</w:t>
      </w:r>
      <w:r w:rsidRPr="00AC62C1">
        <w:rPr>
          <w:rFonts w:ascii="Bookman Old Style" w:eastAsia="Times New Roman" w:hAnsi="Bookman Old Style" w:cs="Open Sans"/>
          <w:sz w:val="28"/>
          <w:szCs w:val="28"/>
          <w:lang w:val="es-MX" w:eastAsia="es-MX"/>
        </w:rPr>
        <w:t xml:space="preserve"> los documentos contentivos de la cotización de la </w:t>
      </w:r>
      <w:r w:rsidRPr="00AC62C1">
        <w:rPr>
          <w:rFonts w:ascii="Bookman Old Style" w:eastAsia="Times New Roman" w:hAnsi="Bookman Old Style" w:cs="Open Sans"/>
          <w:sz w:val="24"/>
          <w:szCs w:val="24"/>
          <w:lang w:val="es-MX" w:eastAsia="es-MX"/>
        </w:rPr>
        <w:t>«</w:t>
      </w:r>
      <w:r w:rsidRPr="00AC62C1">
        <w:rPr>
          <w:rFonts w:ascii="Bookman Old Style" w:eastAsia="Times New Roman" w:hAnsi="Bookman Old Style" w:cs="Open Sans"/>
          <w:i/>
          <w:iCs/>
          <w:sz w:val="24"/>
          <w:szCs w:val="24"/>
          <w:lang w:val="es-MX" w:eastAsia="es-MX"/>
        </w:rPr>
        <w:t>Póliza individual Plan Renta Dorada</w:t>
      </w:r>
      <w:r w:rsidRPr="00AC62C1">
        <w:rPr>
          <w:rFonts w:ascii="Bookman Old Style" w:eastAsia="Times New Roman" w:hAnsi="Bookman Old Style" w:cs="Open Sans"/>
          <w:sz w:val="24"/>
          <w:szCs w:val="24"/>
          <w:lang w:val="es-MX" w:eastAsia="es-MX"/>
        </w:rPr>
        <w:t>»,</w:t>
      </w:r>
      <w:r w:rsidRPr="00AC62C1">
        <w:rPr>
          <w:rFonts w:ascii="Bookman Old Style" w:eastAsia="Times New Roman" w:hAnsi="Bookman Old Style" w:cs="Open Sans"/>
          <w:color w:val="FF0000"/>
          <w:sz w:val="28"/>
          <w:szCs w:val="28"/>
          <w:lang w:val="es-MX" w:eastAsia="es-MX"/>
        </w:rPr>
        <w:t xml:space="preserve"> </w:t>
      </w:r>
      <w:r w:rsidRPr="00AC62C1">
        <w:rPr>
          <w:rFonts w:ascii="Bookman Old Style" w:eastAsia="Times New Roman" w:hAnsi="Bookman Old Style" w:cs="Open Sans"/>
          <w:sz w:val="28"/>
          <w:szCs w:val="28"/>
          <w:lang w:val="es-MX" w:eastAsia="es-MX"/>
        </w:rPr>
        <w:t>lo único que se observa es una proyección de lo</w:t>
      </w:r>
      <w:r w:rsidR="00916DFC" w:rsidRPr="00AC62C1">
        <w:rPr>
          <w:rFonts w:ascii="Bookman Old Style" w:eastAsia="Times New Roman" w:hAnsi="Bookman Old Style" w:cs="Open Sans"/>
          <w:sz w:val="28"/>
          <w:szCs w:val="28"/>
          <w:lang w:val="es-MX" w:eastAsia="es-MX"/>
        </w:rPr>
        <w:t>s</w:t>
      </w:r>
      <w:r w:rsidRPr="00AC62C1">
        <w:rPr>
          <w:rFonts w:ascii="Bookman Old Style" w:eastAsia="Times New Roman" w:hAnsi="Bookman Old Style" w:cs="Open Sans"/>
          <w:sz w:val="28"/>
          <w:szCs w:val="28"/>
          <w:lang w:val="es-MX" w:eastAsia="es-MX"/>
        </w:rPr>
        <w:t xml:space="preserve"> valores de cesión bajo un rendimiento del 24%. Y, al pie del documento, se </w:t>
      </w:r>
      <w:r w:rsidR="00F57DBE" w:rsidRPr="00AC62C1">
        <w:rPr>
          <w:rFonts w:ascii="Bookman Old Style" w:eastAsia="Times New Roman" w:hAnsi="Bookman Old Style" w:cs="Open Sans"/>
          <w:sz w:val="28"/>
          <w:szCs w:val="28"/>
          <w:lang w:val="es-MX" w:eastAsia="es-MX"/>
        </w:rPr>
        <w:t>señala:</w:t>
      </w:r>
      <w:r w:rsidRPr="00AC62C1">
        <w:rPr>
          <w:rFonts w:ascii="Bookman Old Style" w:eastAsia="Times New Roman" w:hAnsi="Bookman Old Style" w:cs="Open Sans"/>
          <w:sz w:val="28"/>
          <w:szCs w:val="28"/>
          <w:lang w:val="es-MX" w:eastAsia="es-MX"/>
        </w:rPr>
        <w:t xml:space="preserve"> </w:t>
      </w:r>
      <w:r w:rsidRPr="00AC62C1">
        <w:rPr>
          <w:rFonts w:ascii="Bookman Old Style" w:eastAsia="Times New Roman" w:hAnsi="Bookman Old Style" w:cs="Open Sans"/>
          <w:i/>
          <w:iCs/>
          <w:sz w:val="28"/>
          <w:szCs w:val="28"/>
          <w:lang w:val="es-MX" w:eastAsia="es-MX"/>
        </w:rPr>
        <w:t>«[</w:t>
      </w:r>
      <w:r w:rsidRPr="00AC62C1">
        <w:rPr>
          <w:rFonts w:ascii="Bookman Old Style" w:eastAsia="Times New Roman" w:hAnsi="Bookman Old Style" w:cs="Open Sans"/>
          <w:i/>
          <w:iCs/>
          <w:sz w:val="24"/>
          <w:szCs w:val="24"/>
          <w:lang w:val="es-MX" w:eastAsia="es-MX"/>
        </w:rPr>
        <w:t>l]os valores de cesión y proyección de ahorro se han calculado con una rentabilidad de inversión estimada en 24.0 % y estarán sujetas a la variación de las tasas de interés del mercado</w:t>
      </w:r>
      <w:r w:rsidRPr="00AC62C1">
        <w:rPr>
          <w:rFonts w:ascii="Bookman Old Style" w:eastAsia="Times New Roman" w:hAnsi="Bookman Old Style" w:cs="Open Sans"/>
          <w:i/>
          <w:iCs/>
          <w:sz w:val="28"/>
          <w:szCs w:val="28"/>
          <w:lang w:val="es-MX" w:eastAsia="es-MX"/>
        </w:rPr>
        <w:t>»</w:t>
      </w:r>
      <w:r w:rsidR="00F57DBE" w:rsidRPr="00AC62C1">
        <w:rPr>
          <w:rStyle w:val="Refdenotaalpie"/>
          <w:rFonts w:ascii="Bookman Old Style" w:eastAsia="Times New Roman" w:hAnsi="Bookman Old Style" w:cs="Open Sans"/>
          <w:i/>
          <w:iCs/>
          <w:sz w:val="28"/>
          <w:szCs w:val="28"/>
          <w:lang w:val="es-MX" w:eastAsia="es-MX"/>
        </w:rPr>
        <w:footnoteReference w:id="34"/>
      </w:r>
      <w:r w:rsidRPr="00AC62C1">
        <w:rPr>
          <w:rFonts w:ascii="Bookman Old Style" w:eastAsia="Times New Roman" w:hAnsi="Bookman Old Style" w:cs="Open Sans"/>
          <w:i/>
          <w:iCs/>
          <w:sz w:val="28"/>
          <w:szCs w:val="28"/>
          <w:lang w:val="es-MX" w:eastAsia="es-MX"/>
        </w:rPr>
        <w:t xml:space="preserve">. </w:t>
      </w:r>
      <w:r w:rsidR="00F57DBE" w:rsidRPr="00AC62C1">
        <w:rPr>
          <w:rFonts w:ascii="Bookman Old Style" w:eastAsia="Times New Roman" w:hAnsi="Bookman Old Style" w:cs="Open Sans"/>
          <w:sz w:val="28"/>
          <w:szCs w:val="28"/>
          <w:lang w:val="es-MX" w:eastAsia="es-MX"/>
        </w:rPr>
        <w:t>Por el contrario, la cotización sí hace hincapié en lo</w:t>
      </w:r>
      <w:r w:rsidR="0081487F" w:rsidRPr="00AC62C1">
        <w:rPr>
          <w:rFonts w:ascii="Bookman Old Style" w:eastAsia="Times New Roman" w:hAnsi="Bookman Old Style" w:cs="Open Sans"/>
          <w:sz w:val="28"/>
          <w:szCs w:val="28"/>
          <w:lang w:val="es-MX" w:eastAsia="es-MX"/>
        </w:rPr>
        <w:t>s instalamentos</w:t>
      </w:r>
      <w:r w:rsidR="00F57DBE" w:rsidRPr="00AC62C1">
        <w:rPr>
          <w:rFonts w:ascii="Bookman Old Style" w:eastAsia="Times New Roman" w:hAnsi="Bookman Old Style" w:cs="Open Sans"/>
          <w:sz w:val="28"/>
          <w:szCs w:val="28"/>
          <w:lang w:val="es-MX" w:eastAsia="es-MX"/>
        </w:rPr>
        <w:t xml:space="preserve"> que habrá de cubrir el asegurado, los cuales serán únicamente ocho sumas que habrá de pagar desde 1998 hasta el 2005.</w:t>
      </w:r>
      <w:r w:rsidR="006E2494">
        <w:rPr>
          <w:rFonts w:ascii="Bookman Old Style" w:eastAsia="Times New Roman" w:hAnsi="Bookman Old Style" w:cs="Open Sans"/>
          <w:sz w:val="28"/>
          <w:szCs w:val="28"/>
          <w:lang w:val="es-MX" w:eastAsia="es-MX"/>
        </w:rPr>
        <w:t xml:space="preserve"> </w:t>
      </w:r>
      <w:r w:rsidRPr="00AC62C1">
        <w:rPr>
          <w:rFonts w:ascii="Bookman Old Style" w:eastAsia="Times New Roman" w:hAnsi="Bookman Old Style" w:cs="Open Sans"/>
          <w:sz w:val="28"/>
          <w:szCs w:val="28"/>
          <w:lang w:val="es-MX" w:eastAsia="es-MX"/>
        </w:rPr>
        <w:t>De manera que no es desaforada la conclusión del Tribunal cuando sostiene que, objetivamente, lo que advierte el documento es que «</w:t>
      </w:r>
      <w:r w:rsidRPr="00AC62C1">
        <w:rPr>
          <w:rFonts w:ascii="Bookman Old Style" w:eastAsia="Times New Roman" w:hAnsi="Bookman Old Style" w:cs="Open Sans"/>
          <w:i/>
          <w:iCs/>
          <w:sz w:val="24"/>
          <w:szCs w:val="24"/>
          <w:lang w:val="es-MX" w:eastAsia="es-MX"/>
        </w:rPr>
        <w:t>el asegurado haría (8) únicos pagos, con los cuales se cubriría el total de las primas de riesgo, generado con ello un valor de cesión el cual fue calculado hasta el año 2043, con un rendimiento del 24%»</w:t>
      </w:r>
      <w:r w:rsidR="00F12D53" w:rsidRPr="00AC62C1">
        <w:rPr>
          <w:rFonts w:ascii="Bookman Old Style" w:hAnsi="Bookman Old Style"/>
          <w:color w:val="000000"/>
          <w:sz w:val="28"/>
          <w:szCs w:val="28"/>
          <w:lang w:eastAsia="es-CO"/>
        </w:rPr>
        <w:t xml:space="preserve">. </w:t>
      </w:r>
      <w:r w:rsidR="00436582" w:rsidRPr="00AC62C1">
        <w:rPr>
          <w:rFonts w:ascii="Bookman Old Style" w:hAnsi="Bookman Old Style"/>
          <w:color w:val="000000"/>
          <w:sz w:val="28"/>
          <w:szCs w:val="28"/>
          <w:lang w:eastAsia="es-CO"/>
        </w:rPr>
        <w:t xml:space="preserve">Sin embargo, </w:t>
      </w:r>
      <w:r w:rsidR="00740F3C" w:rsidRPr="00AC62C1">
        <w:rPr>
          <w:rFonts w:ascii="Bookman Old Style" w:hAnsi="Bookman Old Style"/>
          <w:color w:val="000000"/>
          <w:sz w:val="28"/>
          <w:szCs w:val="28"/>
          <w:lang w:eastAsia="es-CO"/>
        </w:rPr>
        <w:t xml:space="preserve">no </w:t>
      </w:r>
      <w:r w:rsidR="00143800" w:rsidRPr="00AC62C1">
        <w:rPr>
          <w:rFonts w:ascii="Bookman Old Style" w:hAnsi="Bookman Old Style"/>
          <w:color w:val="000000"/>
          <w:sz w:val="28"/>
          <w:szCs w:val="28"/>
          <w:lang w:eastAsia="es-CO"/>
        </w:rPr>
        <w:t>obra prueba</w:t>
      </w:r>
      <w:r w:rsidR="00740F3C" w:rsidRPr="00AC62C1">
        <w:rPr>
          <w:rFonts w:ascii="Bookman Old Style" w:hAnsi="Bookman Old Style"/>
          <w:color w:val="000000"/>
          <w:sz w:val="28"/>
          <w:szCs w:val="28"/>
          <w:lang w:eastAsia="es-CO"/>
        </w:rPr>
        <w:t xml:space="preserve"> sobre</w:t>
      </w:r>
      <w:r w:rsidR="00436582" w:rsidRPr="00AC62C1">
        <w:rPr>
          <w:rFonts w:ascii="Bookman Old Style" w:hAnsi="Bookman Old Style"/>
          <w:color w:val="000000"/>
          <w:sz w:val="28"/>
          <w:szCs w:val="28"/>
          <w:lang w:eastAsia="es-CO"/>
        </w:rPr>
        <w:t xml:space="preserve"> la existencia de una cláusula que imponga </w:t>
      </w:r>
      <w:r w:rsidR="00B840E2" w:rsidRPr="00AC62C1">
        <w:rPr>
          <w:rFonts w:ascii="Bookman Old Style" w:hAnsi="Bookman Old Style"/>
          <w:color w:val="000000"/>
          <w:sz w:val="28"/>
          <w:szCs w:val="28"/>
          <w:lang w:eastAsia="es-CO"/>
        </w:rPr>
        <w:t xml:space="preserve">el pago </w:t>
      </w:r>
      <w:r w:rsidR="00436582" w:rsidRPr="00AC62C1">
        <w:rPr>
          <w:rFonts w:ascii="Bookman Old Style" w:hAnsi="Bookman Old Style"/>
          <w:sz w:val="28"/>
          <w:szCs w:val="28"/>
          <w:lang w:eastAsia="es-CO"/>
        </w:rPr>
        <w:t>de nuevas primas</w:t>
      </w:r>
      <w:r w:rsidR="00436582" w:rsidRPr="00AC62C1">
        <w:rPr>
          <w:rFonts w:ascii="Bookman Old Style" w:hAnsi="Bookman Old Style"/>
          <w:color w:val="FF0000"/>
          <w:sz w:val="28"/>
          <w:szCs w:val="28"/>
          <w:lang w:eastAsia="es-CO"/>
        </w:rPr>
        <w:t xml:space="preserve"> </w:t>
      </w:r>
      <w:r w:rsidR="00436582" w:rsidRPr="00AC62C1">
        <w:rPr>
          <w:rFonts w:ascii="Bookman Old Style" w:hAnsi="Bookman Old Style"/>
          <w:color w:val="000000"/>
          <w:sz w:val="28"/>
          <w:szCs w:val="28"/>
          <w:lang w:eastAsia="es-CO"/>
        </w:rPr>
        <w:t>en caso de que el rendimiento de los valores de cesión fuera menor al 24%</w:t>
      </w:r>
      <w:r w:rsidR="00EF7341" w:rsidRPr="00AC62C1">
        <w:rPr>
          <w:rFonts w:ascii="Bookman Old Style" w:hAnsi="Bookman Old Style"/>
          <w:color w:val="000000"/>
          <w:sz w:val="28"/>
          <w:szCs w:val="28"/>
          <w:lang w:eastAsia="es-CO"/>
        </w:rPr>
        <w:t xml:space="preserve">. </w:t>
      </w:r>
    </w:p>
    <w:p w14:paraId="2DE505D9" w14:textId="77777777" w:rsidR="00430414" w:rsidRPr="00AC62C1" w:rsidRDefault="00430414" w:rsidP="00F92684">
      <w:pPr>
        <w:spacing w:after="0" w:line="360" w:lineRule="auto"/>
        <w:jc w:val="both"/>
        <w:rPr>
          <w:rFonts w:ascii="Bookman Old Style" w:eastAsia="Times New Roman" w:hAnsi="Bookman Old Style" w:cs="Open Sans"/>
          <w:sz w:val="28"/>
          <w:szCs w:val="28"/>
          <w:lang w:val="es-MX" w:eastAsia="es-MX"/>
        </w:rPr>
      </w:pPr>
    </w:p>
    <w:p w14:paraId="2D9F25E7" w14:textId="048A6779" w:rsidR="0073083D" w:rsidRPr="00AC62C1" w:rsidRDefault="00546E3A" w:rsidP="005F0598">
      <w:pPr>
        <w:spacing w:after="0" w:line="360" w:lineRule="auto"/>
        <w:ind w:firstLine="709"/>
        <w:jc w:val="both"/>
        <w:rPr>
          <w:rFonts w:ascii="Bookman Old Style" w:eastAsia="Times New Roman" w:hAnsi="Bookman Old Style" w:cs="Open Sans"/>
          <w:sz w:val="28"/>
          <w:szCs w:val="28"/>
          <w:lang w:val="es-MX" w:eastAsia="es-MX"/>
        </w:rPr>
      </w:pPr>
      <w:r w:rsidRPr="00AC62C1">
        <w:rPr>
          <w:rFonts w:ascii="Bookman Old Style" w:eastAsia="Times New Roman" w:hAnsi="Bookman Old Style" w:cs="Open Sans"/>
          <w:sz w:val="28"/>
          <w:szCs w:val="28"/>
          <w:lang w:val="es-MX" w:eastAsia="es-MX"/>
        </w:rPr>
        <w:lastRenderedPageBreak/>
        <w:t>4.5</w:t>
      </w:r>
      <w:r w:rsidR="00A61FBD" w:rsidRPr="00AC62C1">
        <w:rPr>
          <w:rFonts w:ascii="Bookman Old Style" w:eastAsia="Times New Roman" w:hAnsi="Bookman Old Style" w:cs="Open Sans"/>
          <w:sz w:val="28"/>
          <w:szCs w:val="28"/>
          <w:lang w:val="es-MX" w:eastAsia="es-MX"/>
        </w:rPr>
        <w:t xml:space="preserve">. </w:t>
      </w:r>
      <w:r w:rsidR="00FB5B89" w:rsidRPr="00AC62C1">
        <w:rPr>
          <w:rFonts w:ascii="Bookman Old Style" w:eastAsia="Times New Roman" w:hAnsi="Bookman Old Style" w:cs="Open Sans"/>
          <w:sz w:val="28"/>
          <w:szCs w:val="28"/>
          <w:lang w:val="es-MX" w:eastAsia="es-MX"/>
        </w:rPr>
        <w:t xml:space="preserve">Al respecto, </w:t>
      </w:r>
      <w:r w:rsidR="00ED5A45">
        <w:rPr>
          <w:rFonts w:ascii="Bookman Old Style" w:eastAsia="Times New Roman" w:hAnsi="Bookman Old Style" w:cs="Open Sans"/>
          <w:sz w:val="28"/>
          <w:szCs w:val="28"/>
          <w:lang w:val="es-MX" w:eastAsia="es-MX"/>
        </w:rPr>
        <w:t xml:space="preserve">sobre el error de hecho, </w:t>
      </w:r>
      <w:r w:rsidR="00FB5B89" w:rsidRPr="00AC62C1">
        <w:rPr>
          <w:rFonts w:ascii="Bookman Old Style" w:eastAsia="Times New Roman" w:hAnsi="Bookman Old Style" w:cs="Open Sans"/>
          <w:sz w:val="28"/>
          <w:szCs w:val="28"/>
          <w:lang w:val="es-MX" w:eastAsia="es-MX"/>
        </w:rPr>
        <w:t xml:space="preserve">esta </w:t>
      </w:r>
      <w:r w:rsidRPr="00AC62C1">
        <w:rPr>
          <w:rFonts w:ascii="Bookman Old Style" w:eastAsia="Times New Roman" w:hAnsi="Bookman Old Style" w:cs="Open Sans"/>
          <w:sz w:val="28"/>
          <w:szCs w:val="28"/>
          <w:lang w:val="es-MX" w:eastAsia="es-MX"/>
        </w:rPr>
        <w:t>C</w:t>
      </w:r>
      <w:r w:rsidR="00FB5B89" w:rsidRPr="00AC62C1">
        <w:rPr>
          <w:rFonts w:ascii="Bookman Old Style" w:eastAsia="Times New Roman" w:hAnsi="Bookman Old Style" w:cs="Open Sans"/>
          <w:sz w:val="28"/>
          <w:szCs w:val="28"/>
          <w:lang w:val="es-MX" w:eastAsia="es-MX"/>
        </w:rPr>
        <w:t>orporac</w:t>
      </w:r>
      <w:r w:rsidR="00711B37" w:rsidRPr="00AC62C1">
        <w:rPr>
          <w:rFonts w:ascii="Bookman Old Style" w:eastAsia="Times New Roman" w:hAnsi="Bookman Old Style" w:cs="Open Sans"/>
          <w:sz w:val="28"/>
          <w:szCs w:val="28"/>
          <w:lang w:val="es-MX" w:eastAsia="es-MX"/>
        </w:rPr>
        <w:t>ió</w:t>
      </w:r>
      <w:r w:rsidR="00FB5B89" w:rsidRPr="00AC62C1">
        <w:rPr>
          <w:rFonts w:ascii="Bookman Old Style" w:eastAsia="Times New Roman" w:hAnsi="Bookman Old Style" w:cs="Open Sans"/>
          <w:sz w:val="28"/>
          <w:szCs w:val="28"/>
          <w:lang w:val="es-MX" w:eastAsia="es-MX"/>
        </w:rPr>
        <w:t>n tiene</w:t>
      </w:r>
      <w:r w:rsidR="002024FA" w:rsidRPr="00AC62C1">
        <w:rPr>
          <w:rFonts w:ascii="Bookman Old Style" w:eastAsia="Times New Roman" w:hAnsi="Bookman Old Style" w:cs="Open Sans"/>
          <w:sz w:val="28"/>
          <w:szCs w:val="28"/>
          <w:lang w:val="es-MX" w:eastAsia="es-MX"/>
        </w:rPr>
        <w:t xml:space="preserve"> decantado</w:t>
      </w:r>
      <w:r w:rsidRPr="00AC62C1">
        <w:rPr>
          <w:rFonts w:ascii="Bookman Old Style" w:eastAsia="Times New Roman" w:hAnsi="Bookman Old Style" w:cs="Open Sans"/>
          <w:sz w:val="28"/>
          <w:szCs w:val="28"/>
          <w:lang w:val="es-MX" w:eastAsia="es-MX"/>
        </w:rPr>
        <w:t xml:space="preserve"> que</w:t>
      </w:r>
      <w:r w:rsidR="002024FA" w:rsidRPr="00AC62C1">
        <w:rPr>
          <w:rFonts w:ascii="Bookman Old Style" w:eastAsia="Times New Roman" w:hAnsi="Bookman Old Style" w:cs="Open Sans"/>
          <w:sz w:val="28"/>
          <w:szCs w:val="28"/>
          <w:lang w:val="es-MX" w:eastAsia="es-MX"/>
        </w:rPr>
        <w:t xml:space="preserve"> </w:t>
      </w:r>
    </w:p>
    <w:p w14:paraId="1B889E45" w14:textId="77777777" w:rsidR="00AC62C1" w:rsidRDefault="00AC62C1" w:rsidP="0073083D">
      <w:pPr>
        <w:spacing w:after="0"/>
        <w:ind w:left="709"/>
        <w:jc w:val="both"/>
        <w:rPr>
          <w:rFonts w:ascii="Bookman Old Style" w:eastAsia="Times New Roman" w:hAnsi="Bookman Old Style" w:cs="Open Sans"/>
          <w:i/>
          <w:iCs/>
          <w:sz w:val="24"/>
          <w:szCs w:val="24"/>
          <w:lang w:val="es-MX" w:eastAsia="es-MX"/>
        </w:rPr>
      </w:pPr>
    </w:p>
    <w:p w14:paraId="12FE9521" w14:textId="0366D867" w:rsidR="00546E3A" w:rsidRPr="0073083D" w:rsidRDefault="002024FA" w:rsidP="0073083D">
      <w:pPr>
        <w:spacing w:after="0"/>
        <w:ind w:left="709"/>
        <w:jc w:val="both"/>
        <w:rPr>
          <w:rFonts w:ascii="Bookman Old Style" w:eastAsia="Times New Roman" w:hAnsi="Bookman Old Style" w:cs="Open Sans"/>
          <w:sz w:val="24"/>
          <w:szCs w:val="24"/>
          <w:lang w:val="es-MX" w:eastAsia="es-MX"/>
        </w:rPr>
      </w:pPr>
      <w:r w:rsidRPr="00AC62C1">
        <w:rPr>
          <w:rFonts w:ascii="Bookman Old Style" w:eastAsia="Times New Roman" w:hAnsi="Bookman Old Style" w:cs="Open Sans"/>
          <w:i/>
          <w:iCs/>
          <w:sz w:val="24"/>
          <w:szCs w:val="24"/>
          <w:lang w:val="es-MX" w:eastAsia="es-MX"/>
        </w:rPr>
        <w:t>«</w:t>
      </w:r>
      <w:r w:rsidR="00B45971" w:rsidRPr="00AC62C1">
        <w:rPr>
          <w:rFonts w:ascii="Bookman Old Style" w:eastAsia="Times New Roman" w:hAnsi="Bookman Old Style" w:cs="Open Sans"/>
          <w:sz w:val="24"/>
          <w:szCs w:val="24"/>
          <w:lang w:val="es-MX" w:eastAsia="es-MX"/>
        </w:rPr>
        <w:t>(…)</w:t>
      </w:r>
      <w:r w:rsidR="00B45971" w:rsidRPr="00AC62C1">
        <w:rPr>
          <w:rFonts w:ascii="Bookman Old Style" w:eastAsia="Times New Roman" w:hAnsi="Bookman Old Style" w:cs="Open Sans"/>
          <w:i/>
          <w:iCs/>
          <w:sz w:val="28"/>
          <w:szCs w:val="28"/>
          <w:lang w:val="es-MX" w:eastAsia="es-MX"/>
        </w:rPr>
        <w:t xml:space="preserve"> </w:t>
      </w:r>
      <w:r w:rsidRPr="00AC62C1">
        <w:rPr>
          <w:rFonts w:ascii="Bookman Old Style" w:eastAsia="Times New Roman" w:hAnsi="Bookman Old Style" w:cs="Open Sans"/>
          <w:i/>
          <w:iCs/>
          <w:sz w:val="24"/>
          <w:szCs w:val="24"/>
          <w:lang w:val="es-MX" w:eastAsia="es-MX"/>
        </w:rPr>
        <w:t>si una de las modalidades del yerro de facto acontece cuando el juzgador pasa por alto la prueba existente en el proceso, tambi</w:t>
      </w:r>
      <w:r w:rsidR="00711B37" w:rsidRPr="00AC62C1">
        <w:rPr>
          <w:rFonts w:ascii="Bookman Old Style" w:eastAsia="Times New Roman" w:hAnsi="Bookman Old Style" w:cs="Open Sans"/>
          <w:i/>
          <w:iCs/>
          <w:sz w:val="24"/>
          <w:szCs w:val="24"/>
          <w:lang w:val="es-MX" w:eastAsia="es-MX"/>
        </w:rPr>
        <w:t>é</w:t>
      </w:r>
      <w:r w:rsidRPr="00AC62C1">
        <w:rPr>
          <w:rFonts w:ascii="Bookman Old Style" w:eastAsia="Times New Roman" w:hAnsi="Bookman Old Style" w:cs="Open Sans"/>
          <w:i/>
          <w:iCs/>
          <w:sz w:val="24"/>
          <w:szCs w:val="24"/>
          <w:lang w:val="es-MX" w:eastAsia="es-MX"/>
        </w:rPr>
        <w:t>n tiene sentado la jurisprudencia que no siempre que el Tribunal deja de apreciar pruebas incurre en el señalado error, porque para que este se configure exitosamente en casación, es indispensable, que por su falta de estimac</w:t>
      </w:r>
      <w:r w:rsidR="00711B37" w:rsidRPr="00AC62C1">
        <w:rPr>
          <w:rFonts w:ascii="Bookman Old Style" w:eastAsia="Times New Roman" w:hAnsi="Bookman Old Style" w:cs="Open Sans"/>
          <w:i/>
          <w:iCs/>
          <w:sz w:val="24"/>
          <w:szCs w:val="24"/>
          <w:lang w:val="es-MX" w:eastAsia="es-MX"/>
        </w:rPr>
        <w:t>ió</w:t>
      </w:r>
      <w:r w:rsidRPr="00AC62C1">
        <w:rPr>
          <w:rFonts w:ascii="Bookman Old Style" w:eastAsia="Times New Roman" w:hAnsi="Bookman Old Style" w:cs="Open Sans"/>
          <w:i/>
          <w:iCs/>
          <w:sz w:val="24"/>
          <w:szCs w:val="24"/>
          <w:lang w:val="es-MX" w:eastAsia="es-MX"/>
        </w:rPr>
        <w:t>n, se llegue a conclusiones contraria a la legal.</w:t>
      </w:r>
      <w:r w:rsidRPr="00AC62C1">
        <w:rPr>
          <w:rFonts w:ascii="Bookman Old Style" w:eastAsia="Times New Roman" w:hAnsi="Bookman Old Style" w:cs="Open Sans"/>
          <w:sz w:val="24"/>
          <w:szCs w:val="24"/>
          <w:lang w:val="es-MX" w:eastAsia="es-MX"/>
        </w:rPr>
        <w:t xml:space="preserve"> (...) </w:t>
      </w:r>
      <w:r w:rsidRPr="00AC62C1">
        <w:rPr>
          <w:rFonts w:ascii="Bookman Old Style" w:eastAsia="Times New Roman" w:hAnsi="Bookman Old Style" w:cs="Open Sans"/>
          <w:i/>
          <w:iCs/>
          <w:sz w:val="24"/>
          <w:szCs w:val="24"/>
          <w:lang w:val="es-MX" w:eastAsia="es-MX"/>
        </w:rPr>
        <w:t>no presume la ignoracia de las pruebas por el sentenciador, cuando las conclusiones del fallador se justifican a la ley de las mismas pruebas»</w:t>
      </w:r>
      <w:r w:rsidR="0073083D" w:rsidRPr="00AC62C1">
        <w:rPr>
          <w:rStyle w:val="Refdenotaalpie"/>
          <w:rFonts w:ascii="Bookman Old Style" w:eastAsia="Times New Roman" w:hAnsi="Bookman Old Style" w:cs="Open Sans"/>
          <w:sz w:val="24"/>
          <w:szCs w:val="24"/>
          <w:lang w:val="es-MX" w:eastAsia="es-MX"/>
        </w:rPr>
        <w:footnoteReference w:id="35"/>
      </w:r>
      <w:r w:rsidR="00A27B6B" w:rsidRPr="00AC62C1">
        <w:rPr>
          <w:rFonts w:ascii="Bookman Old Style" w:eastAsia="Times New Roman" w:hAnsi="Bookman Old Style" w:cs="Open Sans"/>
          <w:sz w:val="24"/>
          <w:szCs w:val="24"/>
          <w:lang w:val="es-MX" w:eastAsia="es-MX"/>
        </w:rPr>
        <w:t>.</w:t>
      </w:r>
      <w:r w:rsidR="00A27B6B" w:rsidRPr="0073083D">
        <w:rPr>
          <w:rFonts w:ascii="Bookman Old Style" w:eastAsia="Times New Roman" w:hAnsi="Bookman Old Style" w:cs="Open Sans"/>
          <w:sz w:val="24"/>
          <w:szCs w:val="24"/>
          <w:lang w:val="es-MX" w:eastAsia="es-MX"/>
        </w:rPr>
        <w:t xml:space="preserve">  </w:t>
      </w:r>
    </w:p>
    <w:p w14:paraId="182BB1EE" w14:textId="77777777" w:rsidR="00546E3A" w:rsidRDefault="00546E3A" w:rsidP="00F92684">
      <w:pPr>
        <w:spacing w:after="0" w:line="360" w:lineRule="auto"/>
        <w:ind w:firstLine="709"/>
        <w:jc w:val="both"/>
        <w:rPr>
          <w:rFonts w:ascii="Bookman Old Style" w:eastAsia="Times New Roman" w:hAnsi="Bookman Old Style" w:cs="Open Sans"/>
          <w:i/>
          <w:iCs/>
          <w:sz w:val="24"/>
          <w:szCs w:val="24"/>
          <w:lang w:val="es-MX" w:eastAsia="es-MX"/>
        </w:rPr>
      </w:pPr>
    </w:p>
    <w:p w14:paraId="3D8F8809" w14:textId="0BC0A67E" w:rsidR="00CE0162" w:rsidRPr="00FC2540" w:rsidRDefault="00546E3A" w:rsidP="00FC2540">
      <w:pPr>
        <w:spacing w:after="0" w:line="360" w:lineRule="auto"/>
        <w:ind w:firstLine="709"/>
        <w:jc w:val="both"/>
        <w:rPr>
          <w:rStyle w:val="Nmerodepgina"/>
          <w:rFonts w:ascii="Bookman Old Style" w:hAnsi="Bookman Old Style"/>
          <w:i/>
          <w:iCs/>
          <w:sz w:val="24"/>
          <w:szCs w:val="24"/>
          <w:lang w:val="es-MX"/>
        </w:rPr>
      </w:pPr>
      <w:r>
        <w:rPr>
          <w:rFonts w:ascii="Bookman Old Style" w:eastAsia="Times New Roman" w:hAnsi="Bookman Old Style" w:cs="Open Sans"/>
          <w:sz w:val="28"/>
          <w:szCs w:val="28"/>
          <w:lang w:val="es-MX" w:eastAsia="es-MX"/>
        </w:rPr>
        <w:t>E</w:t>
      </w:r>
      <w:r w:rsidR="00A27B6B">
        <w:rPr>
          <w:rFonts w:ascii="Bookman Old Style" w:eastAsia="Times New Roman" w:hAnsi="Bookman Old Style" w:cs="Open Sans"/>
          <w:sz w:val="28"/>
          <w:szCs w:val="28"/>
          <w:lang w:val="es-MX" w:eastAsia="es-MX"/>
        </w:rPr>
        <w:t>l censor insiste en la preter</w:t>
      </w:r>
      <w:r w:rsidR="00F23C29">
        <w:rPr>
          <w:rFonts w:ascii="Bookman Old Style" w:eastAsia="Times New Roman" w:hAnsi="Bookman Old Style" w:cs="Open Sans"/>
          <w:sz w:val="28"/>
          <w:szCs w:val="28"/>
          <w:lang w:val="es-MX" w:eastAsia="es-MX"/>
        </w:rPr>
        <w:t>misión</w:t>
      </w:r>
      <w:r w:rsidR="00A27B6B">
        <w:rPr>
          <w:rFonts w:ascii="Bookman Old Style" w:eastAsia="Times New Roman" w:hAnsi="Bookman Old Style" w:cs="Open Sans"/>
          <w:sz w:val="28"/>
          <w:szCs w:val="28"/>
          <w:lang w:val="es-MX" w:eastAsia="es-MX"/>
        </w:rPr>
        <w:t xml:space="preserve"> de </w:t>
      </w:r>
      <w:r w:rsidR="00C55396">
        <w:rPr>
          <w:rFonts w:ascii="Bookman Old Style" w:eastAsia="Times New Roman" w:hAnsi="Bookman Old Style" w:cs="Open Sans"/>
          <w:sz w:val="28"/>
          <w:szCs w:val="28"/>
          <w:lang w:val="es-MX" w:eastAsia="es-MX"/>
        </w:rPr>
        <w:t>ciertas</w:t>
      </w:r>
      <w:r w:rsidR="00A27B6B">
        <w:rPr>
          <w:rFonts w:ascii="Bookman Old Style" w:eastAsia="Times New Roman" w:hAnsi="Bookman Old Style" w:cs="Open Sans"/>
          <w:sz w:val="28"/>
          <w:szCs w:val="28"/>
          <w:lang w:val="es-MX" w:eastAsia="es-MX"/>
        </w:rPr>
        <w:t xml:space="preserve"> comunicaciones, </w:t>
      </w:r>
      <w:r>
        <w:rPr>
          <w:rFonts w:ascii="Bookman Old Style" w:eastAsia="Times New Roman" w:hAnsi="Bookman Old Style" w:cs="Open Sans"/>
          <w:sz w:val="28"/>
          <w:szCs w:val="28"/>
          <w:lang w:val="es-MX" w:eastAsia="es-MX"/>
        </w:rPr>
        <w:t>el</w:t>
      </w:r>
      <w:r w:rsidR="0051364C">
        <w:rPr>
          <w:rFonts w:ascii="Bookman Old Style" w:eastAsia="Times New Roman" w:hAnsi="Bookman Old Style" w:cs="Open Sans"/>
          <w:sz w:val="28"/>
          <w:szCs w:val="28"/>
          <w:lang w:val="es-MX" w:eastAsia="es-MX"/>
        </w:rPr>
        <w:t xml:space="preserve"> info</w:t>
      </w:r>
      <w:r w:rsidR="00711B37">
        <w:rPr>
          <w:rFonts w:ascii="Bookman Old Style" w:eastAsia="Times New Roman" w:hAnsi="Bookman Old Style" w:cs="Open Sans"/>
          <w:sz w:val="28"/>
          <w:szCs w:val="28"/>
          <w:lang w:val="es-MX" w:eastAsia="es-MX"/>
        </w:rPr>
        <w:t>r</w:t>
      </w:r>
      <w:r w:rsidR="0051364C">
        <w:rPr>
          <w:rFonts w:ascii="Bookman Old Style" w:eastAsia="Times New Roman" w:hAnsi="Bookman Old Style" w:cs="Open Sans"/>
          <w:sz w:val="28"/>
          <w:szCs w:val="28"/>
          <w:lang w:val="es-MX" w:eastAsia="es-MX"/>
        </w:rPr>
        <w:t>me del actuario</w:t>
      </w:r>
      <w:r w:rsidR="00EC51CC">
        <w:rPr>
          <w:rStyle w:val="Refdenotaalpie"/>
          <w:rFonts w:ascii="Bookman Old Style" w:eastAsia="Times New Roman" w:hAnsi="Bookman Old Style" w:cs="Open Sans"/>
          <w:sz w:val="28"/>
          <w:szCs w:val="28"/>
          <w:lang w:val="es-MX" w:eastAsia="es-MX"/>
        </w:rPr>
        <w:footnoteReference w:id="36"/>
      </w:r>
      <w:r w:rsidR="0051364C">
        <w:rPr>
          <w:rFonts w:ascii="Bookman Old Style" w:eastAsia="Times New Roman" w:hAnsi="Bookman Old Style" w:cs="Open Sans"/>
          <w:sz w:val="28"/>
          <w:szCs w:val="28"/>
          <w:lang w:val="es-MX" w:eastAsia="es-MX"/>
        </w:rPr>
        <w:t xml:space="preserve"> y su testimonio</w:t>
      </w:r>
      <w:r w:rsidR="00984297">
        <w:rPr>
          <w:rFonts w:ascii="Bookman Old Style" w:eastAsia="Times New Roman" w:hAnsi="Bookman Old Style" w:cs="Open Sans"/>
          <w:sz w:val="28"/>
          <w:szCs w:val="28"/>
          <w:lang w:val="es-MX" w:eastAsia="es-MX"/>
        </w:rPr>
        <w:t>,</w:t>
      </w:r>
      <w:r w:rsidR="0051364C">
        <w:rPr>
          <w:rFonts w:ascii="Bookman Old Style" w:eastAsia="Times New Roman" w:hAnsi="Bookman Old Style" w:cs="Open Sans"/>
          <w:sz w:val="28"/>
          <w:szCs w:val="28"/>
          <w:lang w:val="es-MX" w:eastAsia="es-MX"/>
        </w:rPr>
        <w:t xml:space="preserve"> probanzas</w:t>
      </w:r>
      <w:r w:rsidR="00984297">
        <w:rPr>
          <w:rFonts w:ascii="Bookman Old Style" w:eastAsia="Times New Roman" w:hAnsi="Bookman Old Style" w:cs="Open Sans"/>
          <w:sz w:val="28"/>
          <w:szCs w:val="28"/>
          <w:lang w:val="es-MX" w:eastAsia="es-MX"/>
        </w:rPr>
        <w:t xml:space="preserve"> que</w:t>
      </w:r>
      <w:r w:rsidR="0051364C">
        <w:rPr>
          <w:rFonts w:ascii="Bookman Old Style" w:eastAsia="Times New Roman" w:hAnsi="Bookman Old Style" w:cs="Open Sans"/>
          <w:sz w:val="28"/>
          <w:szCs w:val="28"/>
          <w:lang w:val="es-MX" w:eastAsia="es-MX"/>
        </w:rPr>
        <w:t xml:space="preserve"> gravitan en torno a</w:t>
      </w:r>
      <w:r w:rsidR="00984297">
        <w:rPr>
          <w:rFonts w:ascii="Bookman Old Style" w:eastAsia="Times New Roman" w:hAnsi="Bookman Old Style" w:cs="Open Sans"/>
          <w:sz w:val="28"/>
          <w:szCs w:val="28"/>
          <w:lang w:val="es-MX" w:eastAsia="es-MX"/>
        </w:rPr>
        <w:t>l</w:t>
      </w:r>
      <w:r w:rsidR="0051364C">
        <w:rPr>
          <w:rFonts w:ascii="Bookman Old Style" w:eastAsia="Times New Roman" w:hAnsi="Bookman Old Style" w:cs="Open Sans"/>
          <w:sz w:val="28"/>
          <w:szCs w:val="28"/>
          <w:lang w:val="es-MX" w:eastAsia="es-MX"/>
        </w:rPr>
        <w:t xml:space="preserve"> </w:t>
      </w:r>
      <w:r w:rsidR="00F23C29" w:rsidRPr="00AC62C1">
        <w:rPr>
          <w:rFonts w:ascii="Bookman Old Style" w:eastAsia="Times New Roman" w:hAnsi="Bookman Old Style" w:cs="Open Sans"/>
          <w:sz w:val="24"/>
          <w:szCs w:val="24"/>
          <w:lang w:val="es-MX" w:eastAsia="es-MX"/>
        </w:rPr>
        <w:t>«</w:t>
      </w:r>
      <w:r w:rsidR="00F23C29" w:rsidRPr="00AC62C1">
        <w:rPr>
          <w:rFonts w:ascii="Bookman Old Style" w:eastAsia="Times New Roman" w:hAnsi="Bookman Old Style" w:cs="Open Sans"/>
          <w:i/>
          <w:iCs/>
          <w:sz w:val="24"/>
          <w:szCs w:val="24"/>
          <w:lang w:val="es-MX" w:eastAsia="es-MX"/>
        </w:rPr>
        <w:t>comportamiento de la</w:t>
      </w:r>
      <w:r w:rsidR="00A27B6B" w:rsidRPr="00AC62C1">
        <w:rPr>
          <w:rFonts w:ascii="Bookman Old Style" w:eastAsia="Times New Roman" w:hAnsi="Bookman Old Style" w:cs="Open Sans"/>
          <w:i/>
          <w:iCs/>
          <w:sz w:val="24"/>
          <w:szCs w:val="24"/>
          <w:lang w:val="es-MX" w:eastAsia="es-MX"/>
        </w:rPr>
        <w:t xml:space="preserve"> rentabilidad</w:t>
      </w:r>
      <w:r w:rsidR="00F23C29" w:rsidRPr="00AC62C1">
        <w:rPr>
          <w:rFonts w:ascii="Bookman Old Style" w:eastAsia="Times New Roman" w:hAnsi="Bookman Old Style" w:cs="Open Sans"/>
          <w:i/>
          <w:iCs/>
          <w:sz w:val="24"/>
          <w:szCs w:val="24"/>
          <w:lang w:val="es-MX" w:eastAsia="es-MX"/>
        </w:rPr>
        <w:t xml:space="preserve"> de su fondo de protección y el hecho irrefutable del agotamiento de los valores de rescate con los que se iba a pagar la prima</w:t>
      </w:r>
      <w:r w:rsidR="00F23C29" w:rsidRPr="00AC62C1">
        <w:rPr>
          <w:rStyle w:val="Nmerodepgina"/>
          <w:rFonts w:ascii="Bookman Old Style" w:hAnsi="Bookman Old Style"/>
          <w:sz w:val="24"/>
          <w:szCs w:val="24"/>
        </w:rPr>
        <w:t>».</w:t>
      </w:r>
      <w:r w:rsidR="00F23C29">
        <w:rPr>
          <w:rStyle w:val="Nmerodepgina"/>
          <w:rFonts w:ascii="Bookman Old Style" w:hAnsi="Bookman Old Style"/>
          <w:sz w:val="24"/>
          <w:szCs w:val="24"/>
        </w:rPr>
        <w:t xml:space="preserve"> </w:t>
      </w:r>
      <w:r w:rsidR="00984297" w:rsidRPr="00984297">
        <w:rPr>
          <w:rFonts w:ascii="Bookman Old Style" w:eastAsia="Times New Roman" w:hAnsi="Bookman Old Style" w:cs="Open Sans"/>
          <w:sz w:val="28"/>
          <w:szCs w:val="28"/>
          <w:lang w:val="es-MX" w:eastAsia="es-MX"/>
        </w:rPr>
        <w:t>Sin embargo, t</w:t>
      </w:r>
      <w:r w:rsidR="00F23C29" w:rsidRPr="00984297">
        <w:rPr>
          <w:rFonts w:ascii="Bookman Old Style" w:eastAsia="Times New Roman" w:hAnsi="Bookman Old Style" w:cs="Open Sans"/>
          <w:sz w:val="28"/>
          <w:szCs w:val="28"/>
          <w:lang w:val="es-MX" w:eastAsia="es-MX"/>
        </w:rPr>
        <w:t xml:space="preserve">al </w:t>
      </w:r>
      <w:r w:rsidR="00F570BF" w:rsidRPr="00984297">
        <w:rPr>
          <w:rFonts w:ascii="Bookman Old Style" w:eastAsia="Times New Roman" w:hAnsi="Bookman Old Style" w:cs="Open Sans"/>
          <w:sz w:val="28"/>
          <w:szCs w:val="28"/>
          <w:lang w:val="es-MX" w:eastAsia="es-MX"/>
        </w:rPr>
        <w:t>reparo es</w:t>
      </w:r>
      <w:r w:rsidR="00F23C29" w:rsidRPr="00984297">
        <w:rPr>
          <w:rFonts w:ascii="Bookman Old Style" w:eastAsia="Times New Roman" w:hAnsi="Bookman Old Style" w:cs="Open Sans"/>
          <w:sz w:val="28"/>
          <w:szCs w:val="28"/>
          <w:lang w:val="es-MX" w:eastAsia="es-MX"/>
        </w:rPr>
        <w:t xml:space="preserve"> intrascendente</w:t>
      </w:r>
      <w:r w:rsidR="001054F6" w:rsidRPr="00984297">
        <w:rPr>
          <w:rFonts w:ascii="Bookman Old Style" w:eastAsia="Times New Roman" w:hAnsi="Bookman Old Style" w:cs="Open Sans"/>
          <w:sz w:val="28"/>
          <w:szCs w:val="28"/>
          <w:lang w:val="es-MX" w:eastAsia="es-MX"/>
        </w:rPr>
        <w:t>.</w:t>
      </w:r>
      <w:r w:rsidR="001054F6">
        <w:rPr>
          <w:rStyle w:val="Nmerodepgina"/>
          <w:rFonts w:ascii="Bookman Old Style" w:hAnsi="Bookman Old Style"/>
          <w:sz w:val="28"/>
          <w:szCs w:val="28"/>
        </w:rPr>
        <w:t xml:space="preserve"> En efecto, tanto el comportamiento del </w:t>
      </w:r>
      <w:r w:rsidR="001054F6" w:rsidRPr="004554F6">
        <w:rPr>
          <w:rStyle w:val="Nmerodepgina"/>
          <w:rFonts w:ascii="Bookman Old Style" w:hAnsi="Bookman Old Style"/>
          <w:sz w:val="28"/>
          <w:szCs w:val="28"/>
        </w:rPr>
        <w:t>mercado</w:t>
      </w:r>
      <w:r w:rsidR="001054F6" w:rsidRPr="004554F6">
        <w:rPr>
          <w:rStyle w:val="Nmerodepgina"/>
          <w:rFonts w:ascii="Bookman Old Style" w:hAnsi="Bookman Old Style"/>
          <w:sz w:val="24"/>
          <w:szCs w:val="24"/>
        </w:rPr>
        <w:t xml:space="preserve"> </w:t>
      </w:r>
      <w:r w:rsidR="001054F6" w:rsidRPr="00A019A4">
        <w:rPr>
          <w:rStyle w:val="Nmerodepgina"/>
          <w:rFonts w:ascii="Bookman Old Style" w:hAnsi="Bookman Old Style"/>
          <w:sz w:val="28"/>
          <w:szCs w:val="28"/>
        </w:rPr>
        <w:t>-como condición-</w:t>
      </w:r>
      <w:r w:rsidR="001054F6" w:rsidRPr="004554F6">
        <w:rPr>
          <w:rStyle w:val="Nmerodepgina"/>
          <w:rFonts w:ascii="Bookman Old Style" w:hAnsi="Bookman Old Style"/>
          <w:sz w:val="24"/>
          <w:szCs w:val="24"/>
        </w:rPr>
        <w:t xml:space="preserve"> </w:t>
      </w:r>
      <w:r w:rsidR="001054F6">
        <w:rPr>
          <w:rStyle w:val="Nmerodepgina"/>
          <w:rFonts w:ascii="Bookman Old Style" w:hAnsi="Bookman Old Style"/>
          <w:sz w:val="28"/>
          <w:szCs w:val="28"/>
        </w:rPr>
        <w:t xml:space="preserve">y el agotamiento del </w:t>
      </w:r>
      <w:r w:rsidR="001054F6" w:rsidRPr="0051364C">
        <w:rPr>
          <w:rStyle w:val="Nmerodepgina"/>
          <w:rFonts w:ascii="Bookman Old Style" w:hAnsi="Bookman Old Style"/>
          <w:i/>
          <w:iCs/>
          <w:sz w:val="28"/>
          <w:szCs w:val="28"/>
        </w:rPr>
        <w:t>valor de cesión</w:t>
      </w:r>
      <w:r w:rsidR="001054F6">
        <w:rPr>
          <w:rStyle w:val="Nmerodepgina"/>
          <w:rFonts w:ascii="Bookman Old Style" w:hAnsi="Bookman Old Style"/>
          <w:sz w:val="28"/>
          <w:szCs w:val="28"/>
        </w:rPr>
        <w:t>, quedaron desvirtuados con otras pruebas documentales</w:t>
      </w:r>
      <w:r w:rsidR="00ED5A45">
        <w:rPr>
          <w:rStyle w:val="Nmerodepgina"/>
          <w:rFonts w:ascii="Bookman Old Style" w:hAnsi="Bookman Old Style"/>
          <w:sz w:val="28"/>
          <w:szCs w:val="28"/>
        </w:rPr>
        <w:t>.</w:t>
      </w:r>
      <w:r w:rsidR="001054F6">
        <w:rPr>
          <w:rStyle w:val="Nmerodepgina"/>
          <w:rFonts w:ascii="Bookman Old Style" w:hAnsi="Bookman Old Style"/>
          <w:sz w:val="28"/>
          <w:szCs w:val="28"/>
        </w:rPr>
        <w:t xml:space="preserve"> </w:t>
      </w:r>
      <w:r w:rsidR="00ED5A45">
        <w:rPr>
          <w:rStyle w:val="Nmerodepgina"/>
          <w:rFonts w:ascii="Bookman Old Style" w:hAnsi="Bookman Old Style"/>
          <w:sz w:val="28"/>
          <w:szCs w:val="28"/>
        </w:rPr>
        <w:t>A</w:t>
      </w:r>
      <w:r w:rsidR="001054F6">
        <w:rPr>
          <w:rStyle w:val="Nmerodepgina"/>
          <w:rFonts w:ascii="Bookman Old Style" w:hAnsi="Bookman Old Style"/>
          <w:sz w:val="28"/>
          <w:szCs w:val="28"/>
        </w:rPr>
        <w:t xml:space="preserve"> saber: </w:t>
      </w:r>
      <w:r w:rsidR="00984297">
        <w:rPr>
          <w:rStyle w:val="Nmerodepgina"/>
          <w:rFonts w:ascii="Bookman Old Style" w:hAnsi="Bookman Old Style"/>
          <w:sz w:val="28"/>
          <w:szCs w:val="28"/>
        </w:rPr>
        <w:t xml:space="preserve">la </w:t>
      </w:r>
      <w:r w:rsidR="001054F6">
        <w:rPr>
          <w:rStyle w:val="Nmerodepgina"/>
          <w:rFonts w:ascii="Bookman Old Style" w:hAnsi="Bookman Old Style"/>
          <w:sz w:val="28"/>
          <w:szCs w:val="28"/>
        </w:rPr>
        <w:t>cotización de la póliza</w:t>
      </w:r>
      <w:r w:rsidR="00984297">
        <w:rPr>
          <w:rStyle w:val="Nmerodepgina"/>
          <w:rFonts w:ascii="Bookman Old Style" w:hAnsi="Bookman Old Style"/>
          <w:sz w:val="28"/>
          <w:szCs w:val="28"/>
        </w:rPr>
        <w:t xml:space="preserve"> y el </w:t>
      </w:r>
      <w:r w:rsidR="001054F6">
        <w:rPr>
          <w:rStyle w:val="Nmerodepgina"/>
          <w:rFonts w:ascii="Bookman Old Style" w:hAnsi="Bookman Old Style"/>
          <w:sz w:val="28"/>
          <w:szCs w:val="28"/>
        </w:rPr>
        <w:t xml:space="preserve">contrato de seguro. </w:t>
      </w:r>
      <w:r w:rsidR="0051364C">
        <w:rPr>
          <w:rStyle w:val="Nmerodepgina"/>
          <w:rFonts w:ascii="Bookman Old Style" w:hAnsi="Bookman Old Style"/>
          <w:sz w:val="28"/>
          <w:szCs w:val="28"/>
        </w:rPr>
        <w:t>Instrumentos</w:t>
      </w:r>
      <w:r w:rsidR="001054F6">
        <w:rPr>
          <w:rStyle w:val="Nmerodepgina"/>
          <w:rFonts w:ascii="Bookman Old Style" w:hAnsi="Bookman Old Style"/>
          <w:sz w:val="28"/>
          <w:szCs w:val="28"/>
        </w:rPr>
        <w:t xml:space="preserve"> </w:t>
      </w:r>
      <w:r w:rsidR="0051364C">
        <w:rPr>
          <w:rStyle w:val="Nmerodepgina"/>
          <w:rFonts w:ascii="Bookman Old Style" w:hAnsi="Bookman Old Style"/>
          <w:sz w:val="28"/>
          <w:szCs w:val="28"/>
        </w:rPr>
        <w:t>que analiz</w:t>
      </w:r>
      <w:r w:rsidR="00AA1BB6">
        <w:rPr>
          <w:rStyle w:val="Nmerodepgina"/>
          <w:rFonts w:ascii="Bookman Old Style" w:hAnsi="Bookman Old Style"/>
          <w:sz w:val="28"/>
          <w:szCs w:val="28"/>
        </w:rPr>
        <w:t>ó</w:t>
      </w:r>
      <w:r w:rsidR="0051364C">
        <w:rPr>
          <w:rStyle w:val="Nmerodepgina"/>
          <w:rFonts w:ascii="Bookman Old Style" w:hAnsi="Bookman Old Style"/>
          <w:sz w:val="28"/>
          <w:szCs w:val="28"/>
        </w:rPr>
        <w:t xml:space="preserve"> y tuvo en cu</w:t>
      </w:r>
      <w:r w:rsidR="00EC51CC">
        <w:rPr>
          <w:rStyle w:val="Nmerodepgina"/>
          <w:rFonts w:ascii="Bookman Old Style" w:hAnsi="Bookman Old Style"/>
          <w:sz w:val="28"/>
          <w:szCs w:val="28"/>
        </w:rPr>
        <w:t>e</w:t>
      </w:r>
      <w:r w:rsidR="0051364C">
        <w:rPr>
          <w:rStyle w:val="Nmerodepgina"/>
          <w:rFonts w:ascii="Bookman Old Style" w:hAnsi="Bookman Old Style"/>
          <w:sz w:val="28"/>
          <w:szCs w:val="28"/>
        </w:rPr>
        <w:t xml:space="preserve">nta el </w:t>
      </w:r>
      <w:r w:rsidR="0051364C" w:rsidRPr="0051364C">
        <w:rPr>
          <w:rStyle w:val="Nmerodepgina"/>
          <w:rFonts w:ascii="Bookman Old Style" w:hAnsi="Bookman Old Style"/>
          <w:i/>
          <w:iCs/>
          <w:sz w:val="28"/>
          <w:szCs w:val="28"/>
        </w:rPr>
        <w:t>ad quem</w:t>
      </w:r>
      <w:r w:rsidR="0051364C">
        <w:rPr>
          <w:rStyle w:val="Nmerodepgina"/>
          <w:rFonts w:ascii="Bookman Old Style" w:hAnsi="Bookman Old Style"/>
          <w:sz w:val="28"/>
          <w:szCs w:val="28"/>
        </w:rPr>
        <w:t xml:space="preserve">, tal como se </w:t>
      </w:r>
      <w:r w:rsidR="00AA1BB6">
        <w:rPr>
          <w:rStyle w:val="Nmerodepgina"/>
          <w:rFonts w:ascii="Bookman Old Style" w:hAnsi="Bookman Old Style"/>
          <w:sz w:val="28"/>
          <w:szCs w:val="28"/>
        </w:rPr>
        <w:t>mostró</w:t>
      </w:r>
      <w:r w:rsidR="0051364C">
        <w:rPr>
          <w:rStyle w:val="Nmerodepgina"/>
          <w:rFonts w:ascii="Bookman Old Style" w:hAnsi="Bookman Old Style"/>
          <w:sz w:val="28"/>
          <w:szCs w:val="28"/>
        </w:rPr>
        <w:t xml:space="preserve"> previamente. </w:t>
      </w:r>
      <w:r w:rsidR="00CE0162" w:rsidRPr="00AC62C1">
        <w:rPr>
          <w:rStyle w:val="Nmerodepgina"/>
          <w:rFonts w:ascii="Bookman Old Style" w:hAnsi="Bookman Old Style"/>
          <w:sz w:val="28"/>
          <w:szCs w:val="28"/>
        </w:rPr>
        <w:t>Bajo esa arista</w:t>
      </w:r>
      <w:r w:rsidR="005F0598" w:rsidRPr="00AC62C1">
        <w:rPr>
          <w:rStyle w:val="Nmerodepgina"/>
          <w:rFonts w:ascii="Bookman Old Style" w:hAnsi="Bookman Old Style"/>
          <w:sz w:val="28"/>
          <w:szCs w:val="28"/>
        </w:rPr>
        <w:t>,</w:t>
      </w:r>
      <w:r w:rsidR="00CE0162" w:rsidRPr="00AC62C1">
        <w:rPr>
          <w:rStyle w:val="Nmerodepgina"/>
          <w:rFonts w:ascii="Bookman Old Style" w:hAnsi="Bookman Old Style"/>
          <w:sz w:val="28"/>
          <w:szCs w:val="28"/>
        </w:rPr>
        <w:t xml:space="preserve"> las conclusiones del Tribunal no se subvirtieron con las pruebas que el censor </w:t>
      </w:r>
      <w:r w:rsidR="00ED5A45">
        <w:rPr>
          <w:rStyle w:val="Nmerodepgina"/>
          <w:rFonts w:ascii="Bookman Old Style" w:hAnsi="Bookman Old Style"/>
          <w:sz w:val="28"/>
          <w:szCs w:val="28"/>
        </w:rPr>
        <w:t>relata</w:t>
      </w:r>
      <w:r w:rsidR="000F6BBD">
        <w:rPr>
          <w:rStyle w:val="Nmerodepgina"/>
          <w:rFonts w:ascii="Bookman Old Style" w:hAnsi="Bookman Old Style"/>
          <w:sz w:val="28"/>
          <w:szCs w:val="28"/>
        </w:rPr>
        <w:t>.</w:t>
      </w:r>
      <w:r w:rsidR="00D235AF" w:rsidRPr="00AC62C1">
        <w:rPr>
          <w:rStyle w:val="Nmerodepgina"/>
          <w:rFonts w:ascii="Bookman Old Style" w:hAnsi="Bookman Old Style"/>
          <w:sz w:val="28"/>
          <w:szCs w:val="28"/>
        </w:rPr>
        <w:t xml:space="preserve"> </w:t>
      </w:r>
      <w:r w:rsidR="000F6BBD">
        <w:rPr>
          <w:rStyle w:val="Nmerodepgina"/>
          <w:rFonts w:ascii="Bookman Old Style" w:hAnsi="Bookman Old Style"/>
          <w:sz w:val="28"/>
          <w:szCs w:val="28"/>
        </w:rPr>
        <w:t>S</w:t>
      </w:r>
      <w:r w:rsidR="00D235AF" w:rsidRPr="00AC62C1">
        <w:rPr>
          <w:rStyle w:val="Nmerodepgina"/>
          <w:rFonts w:ascii="Bookman Old Style" w:hAnsi="Bookman Old Style"/>
          <w:sz w:val="28"/>
          <w:szCs w:val="28"/>
        </w:rPr>
        <w:t>obre el particular</w:t>
      </w:r>
      <w:r w:rsidR="00264569">
        <w:rPr>
          <w:rStyle w:val="Nmerodepgina"/>
          <w:rFonts w:ascii="Bookman Old Style" w:hAnsi="Bookman Old Style"/>
          <w:sz w:val="28"/>
          <w:szCs w:val="28"/>
        </w:rPr>
        <w:t xml:space="preserve"> se aseveró que</w:t>
      </w:r>
      <w:r w:rsidR="00D235AF" w:rsidRPr="00AC62C1">
        <w:rPr>
          <w:rStyle w:val="Nmerodepgina"/>
          <w:rFonts w:ascii="Bookman Old Style" w:hAnsi="Bookman Old Style"/>
          <w:sz w:val="28"/>
          <w:szCs w:val="28"/>
          <w:lang w:val="es-MX"/>
        </w:rPr>
        <w:t xml:space="preserve"> «</w:t>
      </w:r>
      <w:r w:rsidR="00D235AF" w:rsidRPr="00AC62C1">
        <w:rPr>
          <w:rStyle w:val="Nmerodepgina"/>
          <w:rFonts w:ascii="Bookman Old Style" w:hAnsi="Bookman Old Style"/>
          <w:i/>
          <w:iCs/>
          <w:sz w:val="24"/>
          <w:szCs w:val="24"/>
          <w:lang w:val="es-MX"/>
        </w:rPr>
        <w:t>es ineficaz el cargo por error de hecho en la apreciación de pruebas consistente en que el sentenciador dejó de apreciar algunas, cuando los elementos probatorios que el recurrente mencione como no apreciados no desvirtúan las conclusiones de la sentencia»</w:t>
      </w:r>
      <w:r w:rsidR="005F0598" w:rsidRPr="00264569">
        <w:rPr>
          <w:rStyle w:val="Refdenotaalpie"/>
          <w:rFonts w:ascii="Bookman Old Style" w:hAnsi="Bookman Old Style"/>
          <w:sz w:val="24"/>
          <w:szCs w:val="24"/>
          <w:lang w:val="es-MX"/>
        </w:rPr>
        <w:footnoteReference w:id="37"/>
      </w:r>
      <w:r w:rsidR="00FC2540">
        <w:rPr>
          <w:rStyle w:val="Nmerodepgina"/>
          <w:rFonts w:ascii="Bookman Old Style" w:hAnsi="Bookman Old Style"/>
          <w:i/>
          <w:iCs/>
          <w:sz w:val="24"/>
          <w:szCs w:val="24"/>
          <w:lang w:val="es-MX"/>
        </w:rPr>
        <w:t>.</w:t>
      </w:r>
      <w:r w:rsidR="005F0598">
        <w:rPr>
          <w:rStyle w:val="Nmerodepgina"/>
          <w:rFonts w:ascii="Bookman Old Style" w:hAnsi="Bookman Old Style"/>
          <w:sz w:val="28"/>
          <w:szCs w:val="28"/>
        </w:rPr>
        <w:t xml:space="preserve"> </w:t>
      </w:r>
    </w:p>
    <w:p w14:paraId="46DF8957" w14:textId="77777777" w:rsidR="00430414" w:rsidRDefault="00430414" w:rsidP="00F92684">
      <w:pPr>
        <w:spacing w:after="0" w:line="360" w:lineRule="auto"/>
        <w:ind w:firstLine="709"/>
        <w:jc w:val="both"/>
        <w:rPr>
          <w:rStyle w:val="Nmerodepgina"/>
          <w:rFonts w:ascii="Bookman Old Style" w:hAnsi="Bookman Old Style"/>
          <w:sz w:val="28"/>
          <w:szCs w:val="28"/>
        </w:rPr>
      </w:pPr>
    </w:p>
    <w:p w14:paraId="6B9CEC42" w14:textId="20DDA45B" w:rsidR="00747D8A" w:rsidRPr="0051364C" w:rsidRDefault="00984297" w:rsidP="00F92684">
      <w:pPr>
        <w:spacing w:after="0" w:line="360" w:lineRule="auto"/>
        <w:ind w:firstLine="709"/>
        <w:jc w:val="both"/>
        <w:rPr>
          <w:rFonts w:ascii="Bookman Old Style" w:eastAsia="Times New Roman" w:hAnsi="Bookman Old Style" w:cs="Open Sans"/>
          <w:color w:val="000000" w:themeColor="text1"/>
          <w:sz w:val="28"/>
          <w:szCs w:val="28"/>
          <w:lang w:eastAsia="es-MX"/>
        </w:rPr>
      </w:pPr>
      <w:r>
        <w:rPr>
          <w:rStyle w:val="Nmerodepgina"/>
          <w:rFonts w:ascii="Bookman Old Style" w:hAnsi="Bookman Old Style"/>
          <w:sz w:val="28"/>
          <w:szCs w:val="28"/>
        </w:rPr>
        <w:lastRenderedPageBreak/>
        <w:t>5.</w:t>
      </w:r>
      <w:r w:rsidR="0051364C">
        <w:rPr>
          <w:rStyle w:val="Nmerodepgina"/>
          <w:rFonts w:ascii="Bookman Old Style" w:hAnsi="Bookman Old Style"/>
          <w:sz w:val="28"/>
          <w:szCs w:val="28"/>
        </w:rPr>
        <w:t xml:space="preserve"> En una palabra</w:t>
      </w:r>
      <w:r w:rsidR="005F0598" w:rsidRPr="000F6BBD">
        <w:rPr>
          <w:rStyle w:val="Nmerodepgina"/>
          <w:rFonts w:ascii="Bookman Old Style" w:hAnsi="Bookman Old Style"/>
          <w:sz w:val="28"/>
          <w:szCs w:val="28"/>
        </w:rPr>
        <w:t>,</w:t>
      </w:r>
      <w:r w:rsidR="0051364C">
        <w:rPr>
          <w:rStyle w:val="Nmerodepgina"/>
          <w:rFonts w:ascii="Bookman Old Style" w:hAnsi="Bookman Old Style"/>
          <w:sz w:val="28"/>
          <w:szCs w:val="28"/>
        </w:rPr>
        <w:t xml:space="preserve"> el cargo no prospera</w:t>
      </w:r>
      <w:r w:rsidR="00D235AF">
        <w:rPr>
          <w:rStyle w:val="Refdenotaalpie"/>
          <w:rFonts w:ascii="Bookman Old Style" w:hAnsi="Bookman Old Style"/>
          <w:sz w:val="28"/>
          <w:szCs w:val="28"/>
        </w:rPr>
        <w:footnoteReference w:id="38"/>
      </w:r>
      <w:r w:rsidR="0051364C">
        <w:rPr>
          <w:rStyle w:val="Nmerodepgina"/>
          <w:rFonts w:ascii="Bookman Old Style" w:hAnsi="Bookman Old Style"/>
          <w:sz w:val="28"/>
          <w:szCs w:val="28"/>
        </w:rPr>
        <w:t xml:space="preserve">. </w:t>
      </w:r>
    </w:p>
    <w:p w14:paraId="04D1CDAC" w14:textId="77777777" w:rsidR="00D91AB0" w:rsidRDefault="00D91AB0" w:rsidP="00F92684">
      <w:pPr>
        <w:pStyle w:val="Sinespaciado"/>
        <w:spacing w:line="360" w:lineRule="auto"/>
        <w:jc w:val="both"/>
        <w:rPr>
          <w:rFonts w:ascii="Bookman Old Style" w:hAnsi="Bookman Old Style" w:cs="Arial"/>
          <w:sz w:val="28"/>
          <w:szCs w:val="28"/>
        </w:rPr>
      </w:pPr>
    </w:p>
    <w:p w14:paraId="1BAEF351" w14:textId="77777777" w:rsidR="009441F7" w:rsidRPr="008B6EBB" w:rsidRDefault="009441F7" w:rsidP="0017009D">
      <w:pPr>
        <w:pStyle w:val="Sinespaciado"/>
        <w:spacing w:line="360" w:lineRule="auto"/>
        <w:jc w:val="center"/>
        <w:rPr>
          <w:rFonts w:ascii="Bookman Old Style" w:hAnsi="Bookman Old Style" w:cs="Arial"/>
          <w:b/>
          <w:color w:val="000000" w:themeColor="text1"/>
          <w:sz w:val="28"/>
          <w:szCs w:val="28"/>
        </w:rPr>
      </w:pPr>
      <w:bookmarkStart w:id="1" w:name="_Hlk50017052"/>
      <w:r w:rsidRPr="008B6EBB">
        <w:rPr>
          <w:rFonts w:ascii="Bookman Old Style" w:hAnsi="Bookman Old Style" w:cs="Arial"/>
          <w:b/>
          <w:color w:val="000000" w:themeColor="text1"/>
          <w:sz w:val="28"/>
          <w:szCs w:val="28"/>
        </w:rPr>
        <w:t>DECISIÓN</w:t>
      </w:r>
    </w:p>
    <w:p w14:paraId="21B926BF" w14:textId="77777777" w:rsidR="0025468B" w:rsidRPr="008B6EBB" w:rsidRDefault="0025468B" w:rsidP="00F92684">
      <w:pPr>
        <w:spacing w:after="0" w:line="360" w:lineRule="auto"/>
        <w:ind w:firstLine="709"/>
        <w:jc w:val="both"/>
        <w:rPr>
          <w:rFonts w:ascii="Bookman Old Style" w:hAnsi="Bookman Old Style" w:cs="Arial"/>
          <w:color w:val="000000" w:themeColor="text1"/>
          <w:sz w:val="28"/>
          <w:szCs w:val="28"/>
          <w:lang w:val="es-MX"/>
        </w:rPr>
      </w:pPr>
    </w:p>
    <w:p w14:paraId="57102954" w14:textId="5AF07810" w:rsidR="005F026A" w:rsidRPr="008B6EBB" w:rsidRDefault="009441F7" w:rsidP="00F92684">
      <w:pPr>
        <w:spacing w:after="0" w:line="360" w:lineRule="auto"/>
        <w:ind w:firstLine="709"/>
        <w:jc w:val="both"/>
        <w:rPr>
          <w:rFonts w:ascii="Bookman Old Style" w:hAnsi="Bookman Old Style" w:cs="Arial"/>
          <w:color w:val="000000" w:themeColor="text1"/>
          <w:sz w:val="28"/>
          <w:szCs w:val="28"/>
        </w:rPr>
      </w:pPr>
      <w:r w:rsidRPr="008B6EBB">
        <w:rPr>
          <w:rFonts w:ascii="Bookman Old Style" w:hAnsi="Bookman Old Style" w:cs="Arial"/>
          <w:color w:val="000000" w:themeColor="text1"/>
          <w:sz w:val="28"/>
          <w:szCs w:val="28"/>
          <w:lang w:val="es-MX"/>
        </w:rPr>
        <w:t>En mérito de lo expuesto, la Corte Suprema de Justicia, Sala de Casación Civil</w:t>
      </w:r>
      <w:r w:rsidR="00F34628">
        <w:rPr>
          <w:rFonts w:ascii="Bookman Old Style" w:hAnsi="Bookman Old Style" w:cs="Arial"/>
          <w:color w:val="000000" w:themeColor="text1"/>
          <w:sz w:val="28"/>
          <w:szCs w:val="28"/>
          <w:lang w:val="es-MX"/>
        </w:rPr>
        <w:t xml:space="preserve"> y Ag</w:t>
      </w:r>
      <w:r w:rsidR="00540E42">
        <w:rPr>
          <w:rFonts w:ascii="Bookman Old Style" w:hAnsi="Bookman Old Style" w:cs="Arial"/>
          <w:color w:val="000000" w:themeColor="text1"/>
          <w:sz w:val="28"/>
          <w:szCs w:val="28"/>
          <w:lang w:val="es-MX"/>
        </w:rPr>
        <w:t>raria</w:t>
      </w:r>
      <w:r w:rsidRPr="008B6EBB">
        <w:rPr>
          <w:rFonts w:ascii="Bookman Old Style" w:hAnsi="Bookman Old Style" w:cs="Arial"/>
          <w:color w:val="000000" w:themeColor="text1"/>
          <w:sz w:val="28"/>
          <w:szCs w:val="28"/>
          <w:lang w:val="es-MX"/>
        </w:rPr>
        <w:t xml:space="preserve">, administrando justicia en nombre de la República y por autoridad de la Ley, </w:t>
      </w:r>
      <w:r w:rsidR="008B6EBB" w:rsidRPr="008B6EBB">
        <w:rPr>
          <w:rFonts w:ascii="Bookman Old Style" w:hAnsi="Bookman Old Style" w:cs="Arial"/>
          <w:b/>
          <w:bCs/>
          <w:color w:val="000000" w:themeColor="text1"/>
          <w:sz w:val="28"/>
          <w:szCs w:val="28"/>
          <w:lang w:val="es-MX"/>
        </w:rPr>
        <w:t>NO</w:t>
      </w:r>
      <w:r w:rsidR="008B6EBB" w:rsidRPr="008B6EBB">
        <w:rPr>
          <w:rFonts w:ascii="Bookman Old Style" w:hAnsi="Bookman Old Style" w:cs="Arial"/>
          <w:color w:val="000000" w:themeColor="text1"/>
          <w:sz w:val="28"/>
          <w:szCs w:val="28"/>
          <w:lang w:val="es-MX"/>
        </w:rPr>
        <w:t xml:space="preserve"> </w:t>
      </w:r>
      <w:r w:rsidRPr="008B6EBB">
        <w:rPr>
          <w:rFonts w:ascii="Bookman Old Style" w:hAnsi="Bookman Old Style" w:cs="Arial"/>
          <w:b/>
          <w:color w:val="000000" w:themeColor="text1"/>
          <w:sz w:val="28"/>
          <w:szCs w:val="28"/>
          <w:lang w:val="es-MX"/>
        </w:rPr>
        <w:t>CASA</w:t>
      </w:r>
      <w:r w:rsidRPr="008B6EBB">
        <w:rPr>
          <w:rFonts w:ascii="Bookman Old Style" w:hAnsi="Bookman Old Style" w:cs="Arial"/>
          <w:color w:val="000000" w:themeColor="text1"/>
          <w:sz w:val="28"/>
          <w:szCs w:val="28"/>
          <w:lang w:val="es-MX"/>
        </w:rPr>
        <w:t xml:space="preserve"> la sentencia</w:t>
      </w:r>
      <w:r w:rsidR="008B6EBB" w:rsidRPr="008B6EBB">
        <w:rPr>
          <w:rFonts w:ascii="Bookman Old Style" w:hAnsi="Bookman Old Style" w:cs="Arial"/>
          <w:color w:val="000000" w:themeColor="text1"/>
          <w:sz w:val="28"/>
          <w:szCs w:val="28"/>
          <w:lang w:val="es-MX"/>
        </w:rPr>
        <w:t xml:space="preserve"> del</w:t>
      </w:r>
      <w:r w:rsidR="005F026A" w:rsidRPr="008B6EBB">
        <w:rPr>
          <w:rFonts w:ascii="Bookman Old Style" w:hAnsi="Bookman Old Style" w:cs="Arial"/>
          <w:color w:val="000000" w:themeColor="text1"/>
          <w:sz w:val="28"/>
          <w:szCs w:val="28"/>
          <w:lang w:val="es-MX"/>
        </w:rPr>
        <w:t xml:space="preserve"> </w:t>
      </w:r>
      <w:r w:rsidR="008B6EBB" w:rsidRPr="000F6BBD">
        <w:rPr>
          <w:rFonts w:ascii="Bookman Old Style" w:hAnsi="Bookman Old Style"/>
          <w:color w:val="000000" w:themeColor="text1"/>
          <w:sz w:val="28"/>
          <w:szCs w:val="28"/>
          <w:lang w:val="es-ES_tradnl"/>
        </w:rPr>
        <w:t>28 de febrero de 2018,</w:t>
      </w:r>
      <w:r w:rsidR="008B6EBB" w:rsidRPr="008B6EBB">
        <w:rPr>
          <w:rFonts w:ascii="Bookman Old Style" w:hAnsi="Bookman Old Style"/>
          <w:color w:val="000000" w:themeColor="text1"/>
          <w:sz w:val="28"/>
          <w:szCs w:val="28"/>
          <w:lang w:val="es-ES_tradnl"/>
        </w:rPr>
        <w:t xml:space="preserve"> proferida por la Sala Civil del Tribunal Superior del Distrito Judicial de Bogotá</w:t>
      </w:r>
      <w:r w:rsidR="005F026A" w:rsidRPr="008B6EBB">
        <w:rPr>
          <w:rFonts w:ascii="Bookman Old Style" w:hAnsi="Bookman Old Style" w:cs="Arial"/>
          <w:color w:val="000000" w:themeColor="text1"/>
          <w:sz w:val="28"/>
          <w:szCs w:val="28"/>
        </w:rPr>
        <w:t xml:space="preserve">, en el proceso </w:t>
      </w:r>
      <w:r w:rsidR="00C46FD1" w:rsidRPr="008B6EBB">
        <w:rPr>
          <w:rFonts w:ascii="Bookman Old Style" w:hAnsi="Bookman Old Style" w:cs="Arial"/>
          <w:color w:val="000000" w:themeColor="text1"/>
          <w:sz w:val="28"/>
          <w:szCs w:val="28"/>
        </w:rPr>
        <w:t xml:space="preserve">indicado en precedencia. </w:t>
      </w:r>
    </w:p>
    <w:p w14:paraId="220E6158" w14:textId="716CE77A" w:rsidR="00C46FD1" w:rsidRPr="008B6EBB" w:rsidRDefault="00C46FD1" w:rsidP="00F92684">
      <w:pPr>
        <w:spacing w:after="0" w:line="360" w:lineRule="auto"/>
        <w:ind w:firstLine="709"/>
        <w:jc w:val="both"/>
        <w:rPr>
          <w:rFonts w:ascii="Bookman Old Style" w:hAnsi="Bookman Old Style" w:cs="Arial"/>
          <w:color w:val="000000" w:themeColor="text1"/>
          <w:sz w:val="28"/>
          <w:szCs w:val="28"/>
        </w:rPr>
      </w:pPr>
    </w:p>
    <w:p w14:paraId="37BEFBC3" w14:textId="37473158" w:rsidR="008B6EBB" w:rsidRPr="008B6EBB" w:rsidRDefault="008B6EBB" w:rsidP="008B6EBB">
      <w:pPr>
        <w:spacing w:after="0" w:line="360" w:lineRule="auto"/>
        <w:ind w:firstLine="709"/>
        <w:jc w:val="both"/>
        <w:rPr>
          <w:rFonts w:ascii="Bookman Old Style" w:hAnsi="Bookman Old Style" w:cs="Arial"/>
          <w:color w:val="000000" w:themeColor="text1"/>
          <w:sz w:val="28"/>
          <w:szCs w:val="28"/>
        </w:rPr>
      </w:pPr>
      <w:r w:rsidRPr="008B6EBB">
        <w:rPr>
          <w:rFonts w:ascii="Bookman Old Style" w:hAnsi="Bookman Old Style" w:cs="Arial"/>
          <w:color w:val="000000" w:themeColor="text1"/>
          <w:sz w:val="28"/>
          <w:szCs w:val="28"/>
        </w:rPr>
        <w:t xml:space="preserve">Se condena a la parte demandada en agencias en derecho por valor de $10.000.000, teniendo en cuenta que el opositor se pronunció en término. </w:t>
      </w:r>
    </w:p>
    <w:p w14:paraId="34CD38FD" w14:textId="77777777" w:rsidR="008B6EBB" w:rsidRPr="008B6EBB" w:rsidRDefault="008B6EBB" w:rsidP="008B6EBB">
      <w:pPr>
        <w:spacing w:after="0" w:line="360" w:lineRule="auto"/>
        <w:ind w:firstLine="709"/>
        <w:jc w:val="both"/>
        <w:rPr>
          <w:rFonts w:ascii="Bookman Old Style" w:hAnsi="Bookman Old Style" w:cs="Arial"/>
          <w:color w:val="000000" w:themeColor="text1"/>
          <w:sz w:val="28"/>
          <w:szCs w:val="28"/>
        </w:rPr>
      </w:pPr>
    </w:p>
    <w:p w14:paraId="401010E3" w14:textId="77777777" w:rsidR="008B6EBB" w:rsidRPr="008B6EBB" w:rsidRDefault="008B6EBB" w:rsidP="008B6EBB">
      <w:pPr>
        <w:spacing w:after="0" w:line="360" w:lineRule="auto"/>
        <w:ind w:firstLine="709"/>
        <w:jc w:val="both"/>
        <w:rPr>
          <w:rFonts w:ascii="Bookman Old Style" w:hAnsi="Bookman Old Style" w:cs="Arial"/>
          <w:color w:val="000000" w:themeColor="text1"/>
          <w:sz w:val="28"/>
          <w:szCs w:val="28"/>
          <w:lang w:val="es-ES_tradnl"/>
        </w:rPr>
      </w:pPr>
      <w:r w:rsidRPr="008B6EBB">
        <w:rPr>
          <w:rFonts w:ascii="Bookman Old Style" w:hAnsi="Bookman Old Style" w:cs="Arial"/>
          <w:color w:val="000000" w:themeColor="text1"/>
          <w:sz w:val="28"/>
          <w:szCs w:val="28"/>
          <w:lang w:val="es-ES_tradnl"/>
        </w:rPr>
        <w:t>En su oportunidad, devuélvase el expediente a la Corporación de origen.</w:t>
      </w:r>
    </w:p>
    <w:p w14:paraId="4364992D" w14:textId="77777777" w:rsidR="008B6EBB" w:rsidRPr="008B6EBB" w:rsidRDefault="008B6EBB" w:rsidP="008B6EBB">
      <w:pPr>
        <w:spacing w:after="0" w:line="360" w:lineRule="auto"/>
        <w:ind w:firstLine="709"/>
        <w:jc w:val="both"/>
        <w:rPr>
          <w:rFonts w:ascii="Bookman Old Style" w:hAnsi="Bookman Old Style" w:cs="Arial"/>
          <w:color w:val="FF0000"/>
          <w:sz w:val="28"/>
          <w:szCs w:val="28"/>
          <w:lang w:val="es-ES_tradnl"/>
        </w:rPr>
      </w:pPr>
    </w:p>
    <w:p w14:paraId="2D3258F3" w14:textId="0A0AC7CC" w:rsidR="008B6EBB" w:rsidRDefault="008B6EBB" w:rsidP="00A33F05">
      <w:pPr>
        <w:spacing w:after="0" w:line="360" w:lineRule="auto"/>
        <w:ind w:firstLine="709"/>
        <w:jc w:val="center"/>
        <w:rPr>
          <w:rFonts w:ascii="Bookman Old Style" w:hAnsi="Bookman Old Style" w:cs="Arial"/>
          <w:b/>
          <w:color w:val="000000" w:themeColor="text1"/>
          <w:sz w:val="28"/>
          <w:szCs w:val="28"/>
          <w:lang w:val="es-ES_tradnl"/>
        </w:rPr>
      </w:pPr>
      <w:r w:rsidRPr="008B6EBB">
        <w:rPr>
          <w:rFonts w:ascii="Bookman Old Style" w:hAnsi="Bookman Old Style" w:cs="Arial"/>
          <w:b/>
          <w:color w:val="000000" w:themeColor="text1"/>
          <w:sz w:val="28"/>
          <w:szCs w:val="28"/>
          <w:lang w:val="es-ES_tradnl"/>
        </w:rPr>
        <w:t>NOTIFÍQUESE Y CÚMPLASE</w:t>
      </w:r>
    </w:p>
    <w:p w14:paraId="5A9F9BAC" w14:textId="77777777" w:rsidR="00A47BFE" w:rsidRPr="008B6EBB" w:rsidRDefault="00A47BFE" w:rsidP="00A33F05">
      <w:pPr>
        <w:spacing w:after="0" w:line="360" w:lineRule="auto"/>
        <w:ind w:firstLine="709"/>
        <w:jc w:val="center"/>
        <w:rPr>
          <w:rFonts w:ascii="Bookman Old Style" w:hAnsi="Bookman Old Style" w:cs="Arial"/>
          <w:b/>
          <w:color w:val="000000" w:themeColor="text1"/>
          <w:sz w:val="28"/>
          <w:szCs w:val="28"/>
          <w:lang w:val="es-ES_tradnl"/>
        </w:rPr>
      </w:pPr>
    </w:p>
    <w:p w14:paraId="17D20617" w14:textId="0648C846" w:rsidR="008B6EBB" w:rsidRPr="008B6EBB" w:rsidRDefault="008B6EBB" w:rsidP="0017009D">
      <w:pPr>
        <w:spacing w:after="0" w:line="240" w:lineRule="auto"/>
        <w:ind w:firstLine="709"/>
        <w:jc w:val="center"/>
        <w:rPr>
          <w:rFonts w:ascii="Bookman Old Style" w:hAnsi="Bookman Old Style" w:cs="Arial"/>
          <w:b/>
          <w:bCs/>
          <w:color w:val="000000" w:themeColor="text1"/>
          <w:sz w:val="28"/>
          <w:szCs w:val="28"/>
          <w:lang w:val="es-ES_tradnl"/>
        </w:rPr>
      </w:pPr>
      <w:r w:rsidRPr="008B6EBB">
        <w:rPr>
          <w:rFonts w:ascii="Bookman Old Style" w:hAnsi="Bookman Old Style" w:cs="Arial"/>
          <w:b/>
          <w:bCs/>
          <w:color w:val="000000" w:themeColor="text1"/>
          <w:sz w:val="28"/>
          <w:szCs w:val="28"/>
          <w:lang w:val="es-ES_tradnl"/>
        </w:rPr>
        <w:t>MARTHA PATRICIA GUZMÁN ÁLVAREZ</w:t>
      </w:r>
    </w:p>
    <w:p w14:paraId="37F0E7AD" w14:textId="6865AC8B" w:rsidR="008B6EBB" w:rsidRDefault="008B6EBB" w:rsidP="0017009D">
      <w:pPr>
        <w:spacing w:after="0" w:line="240" w:lineRule="auto"/>
        <w:ind w:firstLine="709"/>
        <w:jc w:val="center"/>
        <w:rPr>
          <w:rFonts w:ascii="Bookman Old Style" w:hAnsi="Bookman Old Style" w:cs="Arial"/>
          <w:color w:val="000000" w:themeColor="text1"/>
          <w:sz w:val="28"/>
          <w:szCs w:val="28"/>
          <w:lang w:val="es-ES_tradnl"/>
        </w:rPr>
      </w:pPr>
      <w:r w:rsidRPr="008B6EBB">
        <w:rPr>
          <w:rFonts w:ascii="Bookman Old Style" w:hAnsi="Bookman Old Style" w:cs="Arial"/>
          <w:color w:val="000000" w:themeColor="text1"/>
          <w:sz w:val="28"/>
          <w:szCs w:val="28"/>
          <w:lang w:val="es-ES_tradnl"/>
        </w:rPr>
        <w:t>Presidente de Sala</w:t>
      </w:r>
    </w:p>
    <w:p w14:paraId="1F995220" w14:textId="6035A81F" w:rsidR="0023673E" w:rsidRDefault="0023673E" w:rsidP="0017009D">
      <w:pPr>
        <w:spacing w:after="0" w:line="240" w:lineRule="auto"/>
        <w:ind w:firstLine="709"/>
        <w:jc w:val="center"/>
        <w:rPr>
          <w:rFonts w:ascii="Bookman Old Style" w:hAnsi="Bookman Old Style" w:cs="Arial"/>
          <w:color w:val="000000" w:themeColor="text1"/>
          <w:sz w:val="28"/>
          <w:szCs w:val="28"/>
          <w:lang w:val="es-ES_tradnl"/>
        </w:rPr>
      </w:pPr>
      <w:r>
        <w:rPr>
          <w:rFonts w:ascii="Bookman Old Style" w:hAnsi="Bookman Old Style" w:cs="Arial"/>
          <w:color w:val="000000" w:themeColor="text1"/>
          <w:sz w:val="28"/>
          <w:szCs w:val="28"/>
          <w:lang w:val="es-ES_tradnl"/>
        </w:rPr>
        <w:t>(con aclaración del voto)</w:t>
      </w:r>
    </w:p>
    <w:p w14:paraId="057F9232" w14:textId="0DC38D1F" w:rsidR="0017009D"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2209938A" w14:textId="77777777" w:rsidR="0017009D"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7AFAF2B8" w14:textId="77777777" w:rsidR="0017009D" w:rsidRPr="008B6EBB"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60547B41" w14:textId="335B7B78" w:rsidR="008B6EBB" w:rsidRDefault="008B6EBB" w:rsidP="0017009D">
      <w:pPr>
        <w:spacing w:after="0" w:line="240" w:lineRule="auto"/>
        <w:ind w:firstLine="709"/>
        <w:jc w:val="center"/>
        <w:rPr>
          <w:rFonts w:ascii="Bookman Old Style" w:hAnsi="Bookman Old Style" w:cs="Arial"/>
          <w:b/>
          <w:color w:val="000000" w:themeColor="text1"/>
          <w:sz w:val="28"/>
          <w:szCs w:val="28"/>
          <w:lang w:val="es-ES_tradnl"/>
        </w:rPr>
      </w:pPr>
      <w:r w:rsidRPr="008B6EBB">
        <w:rPr>
          <w:rFonts w:ascii="Bookman Old Style" w:hAnsi="Bookman Old Style" w:cs="Arial"/>
          <w:b/>
          <w:color w:val="000000" w:themeColor="text1"/>
          <w:sz w:val="28"/>
          <w:szCs w:val="28"/>
          <w:lang w:val="es-ES_tradnl"/>
        </w:rPr>
        <w:t>AROLDO WILSON QUIROZ MONSALVO</w:t>
      </w:r>
    </w:p>
    <w:p w14:paraId="579C79B8" w14:textId="065E8AF7" w:rsidR="0023673E" w:rsidRDefault="0023673E" w:rsidP="0017009D">
      <w:pPr>
        <w:spacing w:after="0" w:line="240" w:lineRule="auto"/>
        <w:ind w:firstLine="709"/>
        <w:jc w:val="center"/>
        <w:rPr>
          <w:rFonts w:ascii="Bookman Old Style" w:hAnsi="Bookman Old Style" w:cs="Arial"/>
          <w:color w:val="000000" w:themeColor="text1"/>
          <w:sz w:val="28"/>
          <w:szCs w:val="28"/>
          <w:lang w:val="es-ES_tradnl"/>
        </w:rPr>
      </w:pPr>
      <w:r>
        <w:rPr>
          <w:rFonts w:ascii="Bookman Old Style" w:hAnsi="Bookman Old Style" w:cs="Arial"/>
          <w:color w:val="000000" w:themeColor="text1"/>
          <w:sz w:val="28"/>
          <w:szCs w:val="28"/>
          <w:lang w:val="es-ES_tradnl"/>
        </w:rPr>
        <w:t>(con aclaración</w:t>
      </w:r>
      <w:r w:rsidR="001A0CDC">
        <w:rPr>
          <w:rFonts w:ascii="Bookman Old Style" w:hAnsi="Bookman Old Style" w:cs="Arial"/>
          <w:color w:val="000000" w:themeColor="text1"/>
          <w:sz w:val="28"/>
          <w:szCs w:val="28"/>
          <w:lang w:val="es-ES_tradnl"/>
        </w:rPr>
        <w:t xml:space="preserve"> parcial</w:t>
      </w:r>
      <w:r>
        <w:rPr>
          <w:rFonts w:ascii="Bookman Old Style" w:hAnsi="Bookman Old Style" w:cs="Arial"/>
          <w:color w:val="000000" w:themeColor="text1"/>
          <w:sz w:val="28"/>
          <w:szCs w:val="28"/>
          <w:lang w:val="es-ES_tradnl"/>
        </w:rPr>
        <w:t xml:space="preserve"> de</w:t>
      </w:r>
      <w:r w:rsidR="001A0CDC">
        <w:rPr>
          <w:rFonts w:ascii="Bookman Old Style" w:hAnsi="Bookman Old Style" w:cs="Arial"/>
          <w:color w:val="000000" w:themeColor="text1"/>
          <w:sz w:val="28"/>
          <w:szCs w:val="28"/>
          <w:lang w:val="es-ES_tradnl"/>
        </w:rPr>
        <w:t xml:space="preserve"> </w:t>
      </w:r>
      <w:bookmarkStart w:id="2" w:name="_GoBack"/>
      <w:bookmarkEnd w:id="2"/>
      <w:r>
        <w:rPr>
          <w:rFonts w:ascii="Bookman Old Style" w:hAnsi="Bookman Old Style" w:cs="Arial"/>
          <w:color w:val="000000" w:themeColor="text1"/>
          <w:sz w:val="28"/>
          <w:szCs w:val="28"/>
          <w:lang w:val="es-ES_tradnl"/>
        </w:rPr>
        <w:t>voto)</w:t>
      </w:r>
    </w:p>
    <w:p w14:paraId="3F716F70" w14:textId="7DCCE15E" w:rsidR="0017009D"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37EED081" w14:textId="5FC1BA5B" w:rsidR="0017009D"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26171891" w14:textId="77777777" w:rsidR="0017009D" w:rsidRPr="00A33F05" w:rsidRDefault="0017009D" w:rsidP="0017009D">
      <w:pPr>
        <w:spacing w:after="0" w:line="360" w:lineRule="auto"/>
        <w:ind w:firstLine="709"/>
        <w:jc w:val="center"/>
        <w:rPr>
          <w:rFonts w:ascii="Bookman Old Style" w:hAnsi="Bookman Old Style" w:cs="Arial"/>
          <w:color w:val="000000" w:themeColor="text1"/>
          <w:sz w:val="28"/>
          <w:szCs w:val="28"/>
          <w:lang w:val="es-ES_tradnl"/>
        </w:rPr>
      </w:pPr>
    </w:p>
    <w:p w14:paraId="6820C56C" w14:textId="11843EBD" w:rsidR="008B6EBB" w:rsidRDefault="008B6EBB" w:rsidP="008B6EBB">
      <w:pPr>
        <w:spacing w:after="0" w:line="360" w:lineRule="auto"/>
        <w:ind w:firstLine="709"/>
        <w:jc w:val="center"/>
        <w:rPr>
          <w:rFonts w:ascii="Bookman Old Style" w:hAnsi="Bookman Old Style" w:cs="Arial"/>
          <w:b/>
          <w:bCs/>
          <w:color w:val="000000" w:themeColor="text1"/>
          <w:sz w:val="28"/>
          <w:szCs w:val="28"/>
          <w:lang w:val="es-ES_tradnl"/>
        </w:rPr>
      </w:pPr>
      <w:r w:rsidRPr="008B6EBB">
        <w:rPr>
          <w:rFonts w:ascii="Bookman Old Style" w:hAnsi="Bookman Old Style" w:cs="Arial"/>
          <w:b/>
          <w:bCs/>
          <w:color w:val="000000" w:themeColor="text1"/>
          <w:sz w:val="28"/>
          <w:szCs w:val="28"/>
          <w:lang w:val="es-ES_tradnl"/>
        </w:rPr>
        <w:t>LUIS ALONSO RICO PUERTA</w:t>
      </w:r>
    </w:p>
    <w:p w14:paraId="19679A86" w14:textId="369FD38F" w:rsidR="0017009D"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2C83D65D" w14:textId="58C37737" w:rsidR="0017009D"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5DC1531E" w14:textId="77777777" w:rsidR="0017009D" w:rsidRPr="008B6EBB"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6FAFC118" w14:textId="5C9E9371" w:rsidR="008B6EBB" w:rsidRDefault="008B6EBB" w:rsidP="008B6EBB">
      <w:pPr>
        <w:spacing w:after="0" w:line="360" w:lineRule="auto"/>
        <w:ind w:firstLine="709"/>
        <w:jc w:val="center"/>
        <w:rPr>
          <w:rFonts w:ascii="Bookman Old Style" w:hAnsi="Bookman Old Style" w:cs="Arial"/>
          <w:b/>
          <w:bCs/>
          <w:color w:val="000000" w:themeColor="text1"/>
          <w:sz w:val="28"/>
          <w:szCs w:val="28"/>
          <w:lang w:val="es-ES_tradnl"/>
        </w:rPr>
      </w:pPr>
      <w:r w:rsidRPr="008B6EBB">
        <w:rPr>
          <w:rFonts w:ascii="Bookman Old Style" w:hAnsi="Bookman Old Style" w:cs="Arial"/>
          <w:b/>
          <w:bCs/>
          <w:color w:val="000000" w:themeColor="text1"/>
          <w:sz w:val="28"/>
          <w:szCs w:val="28"/>
          <w:lang w:val="es-ES_tradnl"/>
        </w:rPr>
        <w:t>OCTAVIO AUGUSTO TEJEIRO DUQUE</w:t>
      </w:r>
    </w:p>
    <w:p w14:paraId="4A8B4552" w14:textId="5BEF2A83" w:rsidR="0017009D"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013EC7A0" w14:textId="607CE50B" w:rsidR="0017009D"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326BBF60" w14:textId="77777777" w:rsidR="0017009D" w:rsidRPr="008B6EBB" w:rsidRDefault="0017009D"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48FB59F" w14:textId="77777777" w:rsidR="008B6EBB" w:rsidRDefault="008B6EBB" w:rsidP="008B6EBB">
      <w:pPr>
        <w:spacing w:after="0" w:line="360" w:lineRule="auto"/>
        <w:ind w:firstLine="709"/>
        <w:jc w:val="center"/>
        <w:rPr>
          <w:rFonts w:ascii="Bookman Old Style" w:hAnsi="Bookman Old Style" w:cs="Arial"/>
          <w:b/>
          <w:bCs/>
          <w:color w:val="000000" w:themeColor="text1"/>
          <w:sz w:val="28"/>
          <w:szCs w:val="28"/>
          <w:lang w:val="es-ES_tradnl"/>
        </w:rPr>
      </w:pPr>
      <w:r w:rsidRPr="008B6EBB">
        <w:rPr>
          <w:rFonts w:ascii="Bookman Old Style" w:hAnsi="Bookman Old Style" w:cs="Arial"/>
          <w:b/>
          <w:bCs/>
          <w:color w:val="000000" w:themeColor="text1"/>
          <w:sz w:val="28"/>
          <w:szCs w:val="28"/>
          <w:lang w:val="es-ES_tradnl"/>
        </w:rPr>
        <w:t>FRANCISCO TERNERA BARRIOS</w:t>
      </w:r>
    </w:p>
    <w:p w14:paraId="6146FB81"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7B2B7873"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DB8C5E5"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48CAE3E"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6405685F"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3E81FB46"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1B918273"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38463D56"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79ABD19F"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F95C89B"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03DC849"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1D397A87"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11E56FF"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3FC5931"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42F67D80"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05396308"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0598E0FC" w14:textId="77777777" w:rsidR="00004B9A" w:rsidRDefault="00004B9A" w:rsidP="008B6EBB">
      <w:pPr>
        <w:spacing w:after="0" w:line="360" w:lineRule="auto"/>
        <w:ind w:firstLine="709"/>
        <w:jc w:val="center"/>
        <w:rPr>
          <w:rFonts w:ascii="Bookman Old Style" w:hAnsi="Bookman Old Style" w:cs="Arial"/>
          <w:b/>
          <w:bCs/>
          <w:color w:val="000000" w:themeColor="text1"/>
          <w:sz w:val="28"/>
          <w:szCs w:val="28"/>
          <w:lang w:val="es-ES_tradnl"/>
        </w:rPr>
      </w:pPr>
    </w:p>
    <w:p w14:paraId="599D9392" w14:textId="77777777" w:rsidR="00004B9A" w:rsidRDefault="00004B9A" w:rsidP="00004B9A">
      <w:pPr>
        <w:jc w:val="center"/>
        <w:rPr>
          <w:rFonts w:ascii="Bookman Old Style" w:hAnsi="Bookman Old Style"/>
          <w:b/>
          <w:sz w:val="28"/>
          <w:szCs w:val="28"/>
          <w:lang w:val="es-ES"/>
        </w:rPr>
      </w:pPr>
      <w:r w:rsidRPr="00EC522C">
        <w:rPr>
          <w:rFonts w:ascii="Bookman Old Style" w:hAnsi="Bookman Old Style"/>
          <w:b/>
          <w:sz w:val="28"/>
          <w:szCs w:val="28"/>
          <w:lang w:val="es-ES"/>
        </w:rPr>
        <w:lastRenderedPageBreak/>
        <w:t>ACLARACIÓN DE VOTO</w:t>
      </w:r>
    </w:p>
    <w:p w14:paraId="0D332840" w14:textId="77777777" w:rsidR="00004B9A" w:rsidRPr="00EC522C" w:rsidRDefault="00004B9A" w:rsidP="00004B9A">
      <w:pPr>
        <w:jc w:val="center"/>
        <w:rPr>
          <w:rFonts w:ascii="Bookman Old Style" w:hAnsi="Bookman Old Style"/>
          <w:b/>
          <w:sz w:val="28"/>
          <w:szCs w:val="28"/>
          <w:lang w:val="es-ES"/>
        </w:rPr>
      </w:pPr>
    </w:p>
    <w:p w14:paraId="7E9BDB6A" w14:textId="77777777" w:rsidR="00004B9A" w:rsidRPr="00C46503" w:rsidRDefault="00004B9A" w:rsidP="00004B9A">
      <w:pPr>
        <w:jc w:val="center"/>
        <w:rPr>
          <w:rFonts w:ascii="Bookman Old Style" w:hAnsi="Bookman Old Style"/>
          <w:b/>
          <w:sz w:val="28"/>
          <w:szCs w:val="28"/>
          <w:lang w:val="es-ES"/>
        </w:rPr>
      </w:pPr>
      <w:r>
        <w:rPr>
          <w:rFonts w:ascii="Bookman Old Style" w:hAnsi="Bookman Old Style"/>
          <w:b/>
          <w:sz w:val="28"/>
          <w:szCs w:val="28"/>
          <w:lang w:val="es-ES"/>
        </w:rPr>
        <w:t>Radicación n°. 11001-31-03-004-2016-00099-</w:t>
      </w:r>
      <w:r w:rsidRPr="00C46503">
        <w:rPr>
          <w:rFonts w:ascii="Bookman Old Style" w:hAnsi="Bookman Old Style"/>
          <w:b/>
          <w:sz w:val="28"/>
          <w:szCs w:val="28"/>
          <w:lang w:val="es-ES"/>
        </w:rPr>
        <w:t>01</w:t>
      </w:r>
    </w:p>
    <w:p w14:paraId="3C3D6C3E" w14:textId="77777777" w:rsidR="00004B9A" w:rsidRPr="00EC522C" w:rsidRDefault="00004B9A" w:rsidP="00004B9A">
      <w:pPr>
        <w:rPr>
          <w:rFonts w:ascii="Bookman Old Style" w:hAnsi="Bookman Old Style"/>
          <w:sz w:val="28"/>
          <w:szCs w:val="28"/>
          <w:lang w:val="es-ES"/>
        </w:rPr>
      </w:pPr>
    </w:p>
    <w:p w14:paraId="1B6E4E62" w14:textId="77777777" w:rsidR="00004B9A" w:rsidRPr="00EC522C" w:rsidRDefault="00004B9A" w:rsidP="00004B9A">
      <w:pPr>
        <w:spacing w:line="360" w:lineRule="auto"/>
        <w:jc w:val="both"/>
        <w:rPr>
          <w:rFonts w:ascii="Bookman Old Style" w:hAnsi="Bookman Old Style"/>
          <w:sz w:val="28"/>
          <w:szCs w:val="28"/>
          <w:lang w:val="es-ES"/>
        </w:rPr>
      </w:pPr>
      <w:r w:rsidRPr="00EC522C">
        <w:rPr>
          <w:rFonts w:ascii="Bookman Old Style" w:hAnsi="Bookman Old Style"/>
          <w:sz w:val="28"/>
          <w:szCs w:val="28"/>
          <w:lang w:val="es-ES"/>
        </w:rPr>
        <w:t xml:space="preserve">Con el acostumbrado respeto me permito aclarar mi voto pues si bien considere que el supuesto previsto en el artículo 121 del Código General del Proceso se trataba de una nulidad de pleno derecho, es del caso recoger </w:t>
      </w:r>
      <w:r>
        <w:rPr>
          <w:rFonts w:ascii="Bookman Old Style" w:hAnsi="Bookman Old Style"/>
          <w:sz w:val="28"/>
          <w:szCs w:val="28"/>
          <w:lang w:val="es-ES"/>
        </w:rPr>
        <w:t>tal</w:t>
      </w:r>
      <w:r w:rsidRPr="00EC522C">
        <w:rPr>
          <w:rFonts w:ascii="Bookman Old Style" w:hAnsi="Bookman Old Style"/>
          <w:sz w:val="28"/>
          <w:szCs w:val="28"/>
          <w:lang w:val="es-ES"/>
        </w:rPr>
        <w:t xml:space="preserve"> postura atendiendo la declaración de </w:t>
      </w:r>
      <w:proofErr w:type="spellStart"/>
      <w:r w:rsidRPr="00EC522C">
        <w:rPr>
          <w:rFonts w:ascii="Bookman Old Style" w:hAnsi="Bookman Old Style"/>
          <w:sz w:val="28"/>
          <w:szCs w:val="28"/>
          <w:lang w:val="es-ES"/>
        </w:rPr>
        <w:t>exequibilidad</w:t>
      </w:r>
      <w:proofErr w:type="spellEnd"/>
      <w:r w:rsidRPr="00EC522C">
        <w:rPr>
          <w:rFonts w:ascii="Bookman Old Style" w:hAnsi="Bookman Old Style"/>
          <w:sz w:val="28"/>
          <w:szCs w:val="28"/>
          <w:lang w:val="es-ES"/>
        </w:rPr>
        <w:t xml:space="preserve"> condicionada de dicha norma por parte de la Corte Constitucional en sentencia C-443 de 2019 y la necesidad de su aplicación </w:t>
      </w:r>
      <w:r>
        <w:rPr>
          <w:rFonts w:ascii="Bookman Old Style" w:hAnsi="Bookman Old Style"/>
          <w:sz w:val="28"/>
          <w:szCs w:val="28"/>
          <w:lang w:val="es-ES"/>
        </w:rPr>
        <w:t>en todo tiempo</w:t>
      </w:r>
      <w:r w:rsidRPr="00EC522C">
        <w:rPr>
          <w:rFonts w:ascii="Bookman Old Style" w:hAnsi="Bookman Old Style"/>
          <w:sz w:val="28"/>
          <w:szCs w:val="28"/>
          <w:lang w:val="es-ES"/>
        </w:rPr>
        <w:t>.</w:t>
      </w:r>
    </w:p>
    <w:p w14:paraId="71C1C07E" w14:textId="77777777" w:rsidR="00004B9A" w:rsidRPr="00EC522C" w:rsidRDefault="00004B9A" w:rsidP="00004B9A">
      <w:pPr>
        <w:spacing w:line="360" w:lineRule="auto"/>
        <w:jc w:val="both"/>
        <w:rPr>
          <w:rFonts w:ascii="Bookman Old Style" w:hAnsi="Bookman Old Style"/>
          <w:sz w:val="28"/>
          <w:szCs w:val="28"/>
          <w:lang w:val="es-ES"/>
        </w:rPr>
      </w:pPr>
    </w:p>
    <w:p w14:paraId="31029923" w14:textId="77777777" w:rsidR="00004B9A" w:rsidRPr="00EC522C" w:rsidRDefault="00004B9A" w:rsidP="00004B9A">
      <w:pPr>
        <w:widowControl w:val="0"/>
        <w:spacing w:line="360" w:lineRule="auto"/>
        <w:ind w:firstLine="709"/>
        <w:contextualSpacing/>
        <w:jc w:val="both"/>
        <w:rPr>
          <w:rFonts w:ascii="Bookman Old Style" w:hAnsi="Bookman Old Style" w:cs="Arial"/>
          <w:sz w:val="28"/>
          <w:szCs w:val="28"/>
        </w:rPr>
      </w:pPr>
      <w:r w:rsidRPr="00EC522C">
        <w:rPr>
          <w:rFonts w:ascii="Bookman Old Style" w:hAnsi="Bookman Old Style" w:cs="Arial"/>
          <w:sz w:val="28"/>
          <w:szCs w:val="28"/>
        </w:rPr>
        <w:t>En los anteriores términos dejo fundamentada mi aclaración de voto.</w:t>
      </w:r>
    </w:p>
    <w:p w14:paraId="4BB994D4" w14:textId="77777777" w:rsidR="00004B9A" w:rsidRPr="00EC522C" w:rsidRDefault="00004B9A" w:rsidP="00004B9A">
      <w:pPr>
        <w:pStyle w:val="Prrafodelista1"/>
        <w:spacing w:before="0" w:beforeAutospacing="0" w:after="0" w:afterAutospacing="0" w:line="360" w:lineRule="auto"/>
        <w:jc w:val="center"/>
        <w:rPr>
          <w:rFonts w:ascii="Bookman Old Style" w:hAnsi="Bookman Old Style"/>
          <w:b/>
          <w:bCs/>
          <w:iCs/>
          <w:sz w:val="28"/>
          <w:szCs w:val="28"/>
          <w:lang w:val="es-ES_tradnl"/>
        </w:rPr>
      </w:pPr>
      <w:bookmarkStart w:id="3" w:name="_Hlk102654463"/>
    </w:p>
    <w:bookmarkEnd w:id="3"/>
    <w:p w14:paraId="298F5CF0" w14:textId="77777777" w:rsidR="00004B9A" w:rsidRPr="00EC522C" w:rsidRDefault="00004B9A" w:rsidP="00004B9A">
      <w:pPr>
        <w:widowControl w:val="0"/>
        <w:autoSpaceDE w:val="0"/>
        <w:autoSpaceDN w:val="0"/>
        <w:adjustRightInd w:val="0"/>
        <w:spacing w:line="360" w:lineRule="auto"/>
        <w:jc w:val="center"/>
        <w:rPr>
          <w:rFonts w:ascii="Bookman Old Style" w:hAnsi="Bookman Old Style"/>
          <w:b/>
          <w:sz w:val="28"/>
          <w:szCs w:val="28"/>
        </w:rPr>
      </w:pPr>
      <w:r w:rsidRPr="00EC522C">
        <w:rPr>
          <w:rFonts w:ascii="Bookman Old Style" w:hAnsi="Bookman Old Style"/>
          <w:b/>
          <w:sz w:val="28"/>
          <w:szCs w:val="28"/>
        </w:rPr>
        <w:t>MARTHA PATRICIA GUZMÁN ÁLVAREZ</w:t>
      </w:r>
    </w:p>
    <w:p w14:paraId="54FBC411" w14:textId="7BED2772" w:rsidR="00004B9A" w:rsidRPr="008B6EBB" w:rsidRDefault="00004B9A" w:rsidP="00004B9A">
      <w:pPr>
        <w:spacing w:after="0" w:line="360" w:lineRule="auto"/>
        <w:ind w:firstLine="709"/>
        <w:jc w:val="center"/>
        <w:rPr>
          <w:rFonts w:ascii="Bookman Old Style" w:hAnsi="Bookman Old Style" w:cs="Arial"/>
          <w:b/>
          <w:bCs/>
          <w:color w:val="000000" w:themeColor="text1"/>
          <w:sz w:val="28"/>
          <w:szCs w:val="28"/>
          <w:lang w:val="es-ES_tradnl"/>
        </w:rPr>
      </w:pPr>
      <w:r w:rsidRPr="00EC522C">
        <w:rPr>
          <w:rFonts w:ascii="Bookman Old Style" w:hAnsi="Bookman Old Style"/>
          <w:sz w:val="28"/>
          <w:szCs w:val="28"/>
        </w:rPr>
        <w:t>Magistrada</w:t>
      </w:r>
    </w:p>
    <w:p w14:paraId="0A00EED5" w14:textId="77777777" w:rsidR="005F026A" w:rsidRPr="008B6EBB" w:rsidRDefault="005F026A" w:rsidP="008B6EBB">
      <w:pPr>
        <w:spacing w:after="0" w:line="360" w:lineRule="auto"/>
        <w:jc w:val="both"/>
        <w:rPr>
          <w:rFonts w:ascii="Bookman Old Style" w:hAnsi="Bookman Old Style" w:cs="Arial"/>
          <w:color w:val="000000" w:themeColor="text1"/>
          <w:sz w:val="28"/>
          <w:szCs w:val="28"/>
        </w:rPr>
      </w:pPr>
    </w:p>
    <w:bookmarkEnd w:id="1"/>
    <w:p w14:paraId="55A54AC7" w14:textId="4845390F" w:rsidR="00C46FD1" w:rsidRDefault="00C46FD1" w:rsidP="00F92684">
      <w:pPr>
        <w:spacing w:after="0" w:line="360" w:lineRule="auto"/>
        <w:ind w:firstLine="709"/>
        <w:jc w:val="center"/>
        <w:rPr>
          <w:rFonts w:ascii="Bookman Old Style" w:hAnsi="Bookman Old Style"/>
          <w:b/>
          <w:color w:val="000000" w:themeColor="text1"/>
          <w:spacing w:val="-3"/>
          <w:sz w:val="28"/>
          <w:szCs w:val="28"/>
        </w:rPr>
      </w:pPr>
    </w:p>
    <w:p w14:paraId="22AAD555" w14:textId="0EC6F267"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014E08B4" w14:textId="29B0861B"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741593CC" w14:textId="7AD3E437"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2DE7182E" w14:textId="15975C7A"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6AC37DE6" w14:textId="68C1C8A1"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6D3AADCA" w14:textId="7F2A0E66"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0B774E2D" w14:textId="7AFED635"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1D6CA27F" w14:textId="6BA2A3B2" w:rsidR="004B5ECB" w:rsidRDefault="004B5ECB" w:rsidP="00F92684">
      <w:pPr>
        <w:spacing w:after="0" w:line="360" w:lineRule="auto"/>
        <w:ind w:firstLine="709"/>
        <w:jc w:val="center"/>
        <w:rPr>
          <w:rFonts w:ascii="Bookman Old Style" w:hAnsi="Bookman Old Style"/>
          <w:b/>
          <w:color w:val="000000" w:themeColor="text1"/>
          <w:spacing w:val="-3"/>
          <w:sz w:val="28"/>
          <w:szCs w:val="28"/>
        </w:rPr>
      </w:pPr>
    </w:p>
    <w:p w14:paraId="0F53005B" w14:textId="77777777" w:rsidR="004B5ECB" w:rsidRPr="003C573D" w:rsidRDefault="004B5ECB" w:rsidP="004B5ECB">
      <w:pPr>
        <w:widowControl w:val="0"/>
        <w:spacing w:line="360" w:lineRule="auto"/>
        <w:jc w:val="center"/>
        <w:rPr>
          <w:rFonts w:ascii="Bookman Old Style" w:hAnsi="Bookman Old Style"/>
          <w:b/>
          <w:bCs/>
          <w:sz w:val="28"/>
          <w:szCs w:val="28"/>
        </w:rPr>
      </w:pPr>
      <w:r>
        <w:rPr>
          <w:rFonts w:ascii="Bookman Old Style" w:hAnsi="Bookman Old Style"/>
          <w:b/>
          <w:bCs/>
          <w:sz w:val="28"/>
          <w:szCs w:val="28"/>
        </w:rPr>
        <w:lastRenderedPageBreak/>
        <w:t>ACLARACIÓN</w:t>
      </w:r>
      <w:r w:rsidRPr="003C573D">
        <w:rPr>
          <w:rFonts w:ascii="Bookman Old Style" w:hAnsi="Bookman Old Style"/>
          <w:b/>
          <w:bCs/>
          <w:sz w:val="28"/>
          <w:szCs w:val="28"/>
        </w:rPr>
        <w:t xml:space="preserve"> </w:t>
      </w:r>
      <w:r>
        <w:rPr>
          <w:rFonts w:ascii="Bookman Old Style" w:hAnsi="Bookman Old Style"/>
          <w:b/>
          <w:bCs/>
          <w:sz w:val="28"/>
          <w:szCs w:val="28"/>
        </w:rPr>
        <w:t xml:space="preserve">PARCIAL </w:t>
      </w:r>
      <w:r w:rsidRPr="003C573D">
        <w:rPr>
          <w:rFonts w:ascii="Bookman Old Style" w:hAnsi="Bookman Old Style"/>
          <w:b/>
          <w:bCs/>
          <w:sz w:val="28"/>
          <w:szCs w:val="28"/>
        </w:rPr>
        <w:t>DE VOTO</w:t>
      </w:r>
    </w:p>
    <w:p w14:paraId="7E4169A3" w14:textId="77777777" w:rsidR="004B5ECB" w:rsidRPr="003C573D" w:rsidRDefault="004B5ECB" w:rsidP="004B5ECB">
      <w:pPr>
        <w:widowControl w:val="0"/>
        <w:tabs>
          <w:tab w:val="left" w:pos="7513"/>
        </w:tabs>
        <w:spacing w:line="360" w:lineRule="auto"/>
        <w:jc w:val="center"/>
        <w:rPr>
          <w:rFonts w:ascii="Bookman Old Style" w:hAnsi="Bookman Old Style"/>
          <w:b/>
          <w:sz w:val="28"/>
          <w:szCs w:val="28"/>
        </w:rPr>
      </w:pPr>
    </w:p>
    <w:p w14:paraId="2E7E9677" w14:textId="77777777" w:rsidR="004B5ECB" w:rsidRPr="000429DF" w:rsidRDefault="004B5ECB" w:rsidP="004B5ECB">
      <w:pPr>
        <w:widowControl w:val="0"/>
        <w:tabs>
          <w:tab w:val="left" w:pos="7513"/>
        </w:tabs>
        <w:spacing w:line="360" w:lineRule="auto"/>
        <w:jc w:val="center"/>
        <w:rPr>
          <w:rFonts w:ascii="Bookman Old Style" w:hAnsi="Bookman Old Style"/>
          <w:b/>
          <w:sz w:val="28"/>
          <w:szCs w:val="28"/>
        </w:rPr>
      </w:pPr>
      <w:r w:rsidRPr="003C573D">
        <w:rPr>
          <w:rFonts w:ascii="Bookman Old Style" w:hAnsi="Bookman Old Style"/>
          <w:b/>
          <w:sz w:val="28"/>
          <w:szCs w:val="28"/>
        </w:rPr>
        <w:t xml:space="preserve">Radicación </w:t>
      </w:r>
      <w:proofErr w:type="spellStart"/>
      <w:r w:rsidRPr="003C573D">
        <w:rPr>
          <w:rFonts w:ascii="Bookman Old Style" w:hAnsi="Bookman Old Style"/>
          <w:b/>
          <w:sz w:val="28"/>
          <w:szCs w:val="28"/>
        </w:rPr>
        <w:t>n.°</w:t>
      </w:r>
      <w:proofErr w:type="spellEnd"/>
      <w:r w:rsidRPr="003C573D">
        <w:rPr>
          <w:rFonts w:ascii="Bookman Old Style" w:hAnsi="Bookman Old Style"/>
          <w:b/>
          <w:sz w:val="28"/>
          <w:szCs w:val="28"/>
        </w:rPr>
        <w:t xml:space="preserve"> </w:t>
      </w:r>
      <w:r w:rsidRPr="000429DF">
        <w:rPr>
          <w:rFonts w:ascii="Bookman Old Style" w:hAnsi="Bookman Old Style"/>
          <w:b/>
          <w:sz w:val="28"/>
          <w:szCs w:val="28"/>
        </w:rPr>
        <w:t>11001-31-03-004-2016-00099-01</w:t>
      </w:r>
    </w:p>
    <w:p w14:paraId="495F1DA2" w14:textId="77777777" w:rsidR="004B5ECB" w:rsidRPr="003C573D" w:rsidRDefault="004B5ECB" w:rsidP="004B5ECB">
      <w:pPr>
        <w:widowControl w:val="0"/>
        <w:spacing w:line="360" w:lineRule="auto"/>
        <w:jc w:val="center"/>
        <w:rPr>
          <w:rFonts w:ascii="Bookman Old Style" w:hAnsi="Bookman Old Style"/>
          <w:sz w:val="28"/>
          <w:szCs w:val="28"/>
        </w:rPr>
      </w:pPr>
    </w:p>
    <w:p w14:paraId="6100B7DA" w14:textId="77777777" w:rsidR="004B5ECB" w:rsidRPr="00FA59D2" w:rsidRDefault="004B5ECB" w:rsidP="004B5ECB">
      <w:pPr>
        <w:widowControl w:val="0"/>
        <w:spacing w:line="360" w:lineRule="auto"/>
        <w:ind w:firstLine="708"/>
        <w:jc w:val="both"/>
        <w:rPr>
          <w:rFonts w:ascii="Bookman Old Style" w:hAnsi="Bookman Old Style"/>
          <w:sz w:val="28"/>
          <w:szCs w:val="28"/>
        </w:rPr>
      </w:pPr>
      <w:r w:rsidRPr="003C573D">
        <w:rPr>
          <w:rFonts w:ascii="Bookman Old Style" w:hAnsi="Bookman Old Style"/>
          <w:sz w:val="28"/>
          <w:szCs w:val="28"/>
        </w:rPr>
        <w:t xml:space="preserve">Con el respeto acostumbrado </w:t>
      </w:r>
      <w:r>
        <w:rPr>
          <w:rFonts w:ascii="Bookman Old Style" w:hAnsi="Bookman Old Style"/>
          <w:sz w:val="28"/>
          <w:szCs w:val="28"/>
        </w:rPr>
        <w:t>sustento por qué me aparto de las consideraciones sobre el primer cargo relacionado con la nulidad del proceso por excederse el término de duración del trámite. En todo caso, como la estabilidad de la jurisprudencia está por encima de las opiniones individuales de quienes participan en su construcción, de ahora en adelante asumiré la posición mayoritaria al respecto.</w:t>
      </w:r>
    </w:p>
    <w:p w14:paraId="739A0487" w14:textId="77777777" w:rsidR="004B5ECB" w:rsidRDefault="004B5ECB" w:rsidP="004B5ECB">
      <w:pPr>
        <w:widowControl w:val="0"/>
        <w:spacing w:line="360" w:lineRule="auto"/>
        <w:jc w:val="both"/>
        <w:rPr>
          <w:rFonts w:ascii="Bookman Old Style" w:hAnsi="Bookman Old Style"/>
          <w:sz w:val="28"/>
          <w:szCs w:val="28"/>
        </w:rPr>
      </w:pPr>
    </w:p>
    <w:p w14:paraId="76ACA32E" w14:textId="77777777" w:rsidR="004B5ECB" w:rsidRDefault="004B5ECB" w:rsidP="004B5ECB">
      <w:pPr>
        <w:widowControl w:val="0"/>
        <w:spacing w:line="360" w:lineRule="auto"/>
        <w:ind w:left="-284" w:firstLine="709"/>
        <w:jc w:val="both"/>
        <w:rPr>
          <w:rFonts w:ascii="Bookman Old Style" w:hAnsi="Bookman Old Style" w:cs="Arial"/>
          <w:sz w:val="28"/>
          <w:szCs w:val="28"/>
        </w:rPr>
      </w:pPr>
      <w:r w:rsidRPr="003C573D">
        <w:rPr>
          <w:rFonts w:ascii="Bookman Old Style" w:hAnsi="Bookman Old Style"/>
          <w:sz w:val="28"/>
          <w:szCs w:val="28"/>
        </w:rPr>
        <w:t xml:space="preserve">1. </w:t>
      </w:r>
      <w:r>
        <w:rPr>
          <w:rFonts w:ascii="Bookman Old Style" w:hAnsi="Bookman Old Style" w:cs="Arial"/>
          <w:sz w:val="28"/>
          <w:szCs w:val="28"/>
        </w:rPr>
        <w:t xml:space="preserve">Es propio del </w:t>
      </w:r>
      <w:r w:rsidRPr="006E5608">
        <w:rPr>
          <w:rFonts w:ascii="Bookman Old Style" w:hAnsi="Bookman Old Style" w:cs="Arial"/>
          <w:sz w:val="28"/>
          <w:szCs w:val="28"/>
        </w:rPr>
        <w:t xml:space="preserve">debido proceso y </w:t>
      </w:r>
      <w:r>
        <w:rPr>
          <w:rFonts w:ascii="Bookman Old Style" w:hAnsi="Bookman Old Style" w:cs="Arial"/>
          <w:sz w:val="28"/>
          <w:szCs w:val="28"/>
        </w:rPr>
        <w:t xml:space="preserve">del </w:t>
      </w:r>
      <w:r w:rsidRPr="006E5608">
        <w:rPr>
          <w:rFonts w:ascii="Bookman Old Style" w:hAnsi="Bookman Old Style" w:cs="Arial"/>
          <w:sz w:val="28"/>
          <w:szCs w:val="28"/>
        </w:rPr>
        <w:t xml:space="preserve">acceso efectivo a la administración de justicia, garantías de raigambre </w:t>
      </w:r>
      <w:r>
        <w:rPr>
          <w:rFonts w:ascii="Bookman Old Style" w:hAnsi="Bookman Old Style" w:cs="Arial"/>
          <w:sz w:val="28"/>
          <w:szCs w:val="28"/>
        </w:rPr>
        <w:t xml:space="preserve">fundamental, </w:t>
      </w:r>
      <w:r w:rsidRPr="006E5608">
        <w:rPr>
          <w:rFonts w:ascii="Bookman Old Style" w:hAnsi="Bookman Old Style" w:cs="Arial"/>
          <w:sz w:val="28"/>
          <w:szCs w:val="28"/>
        </w:rPr>
        <w:t xml:space="preserve">que las actuaciones de los jueces </w:t>
      </w:r>
      <w:r>
        <w:rPr>
          <w:rFonts w:ascii="Bookman Old Style" w:hAnsi="Bookman Old Style" w:cs="Arial"/>
          <w:sz w:val="28"/>
          <w:szCs w:val="28"/>
        </w:rPr>
        <w:t xml:space="preserve">deben adelantarse, y las resoluciones adoptarse, </w:t>
      </w:r>
      <w:r w:rsidRPr="006E5608">
        <w:rPr>
          <w:rFonts w:ascii="Bookman Old Style" w:hAnsi="Bookman Old Style" w:cs="Arial"/>
          <w:sz w:val="28"/>
          <w:szCs w:val="28"/>
        </w:rPr>
        <w:t>en un lapso prude</w:t>
      </w:r>
      <w:r>
        <w:rPr>
          <w:rFonts w:ascii="Bookman Old Style" w:hAnsi="Bookman Old Style" w:cs="Arial"/>
          <w:sz w:val="28"/>
          <w:szCs w:val="28"/>
        </w:rPr>
        <w:t>ncial</w:t>
      </w:r>
      <w:r w:rsidRPr="006E5608">
        <w:rPr>
          <w:rFonts w:ascii="Bookman Old Style" w:hAnsi="Bookman Old Style" w:cs="Arial"/>
          <w:sz w:val="28"/>
          <w:szCs w:val="28"/>
        </w:rPr>
        <w:t xml:space="preserve">, en tanto los </w:t>
      </w:r>
      <w:r>
        <w:rPr>
          <w:rFonts w:ascii="Bookman Old Style" w:hAnsi="Bookman Old Style" w:cs="Arial"/>
          <w:sz w:val="28"/>
          <w:szCs w:val="28"/>
        </w:rPr>
        <w:t xml:space="preserve">ciudadanos </w:t>
      </w:r>
      <w:r w:rsidRPr="006E5608">
        <w:rPr>
          <w:rFonts w:ascii="Bookman Old Style" w:hAnsi="Bookman Old Style" w:cs="Arial"/>
          <w:sz w:val="28"/>
          <w:szCs w:val="28"/>
        </w:rPr>
        <w:t xml:space="preserve">no pueden estar bajo la zozobra de la </w:t>
      </w:r>
      <w:r>
        <w:rPr>
          <w:rFonts w:ascii="Bookman Old Style" w:hAnsi="Bookman Old Style" w:cs="Arial"/>
          <w:sz w:val="28"/>
          <w:szCs w:val="28"/>
        </w:rPr>
        <w:t>incertidumbre</w:t>
      </w:r>
      <w:r w:rsidRPr="006E5608">
        <w:rPr>
          <w:rFonts w:ascii="Bookman Old Style" w:hAnsi="Bookman Old Style" w:cs="Arial"/>
          <w:sz w:val="28"/>
          <w:szCs w:val="28"/>
        </w:rPr>
        <w:t xml:space="preserve"> judicial y a la espera de una respuesta indefinida en el tiempo</w:t>
      </w:r>
      <w:r>
        <w:rPr>
          <w:rFonts w:ascii="Bookman Old Style" w:hAnsi="Bookman Old Style" w:cs="Arial"/>
          <w:sz w:val="28"/>
          <w:szCs w:val="28"/>
        </w:rPr>
        <w:t>.</w:t>
      </w:r>
    </w:p>
    <w:p w14:paraId="57FD0A87" w14:textId="77777777" w:rsidR="004B5ECB" w:rsidRDefault="004B5ECB" w:rsidP="004B5ECB">
      <w:pPr>
        <w:spacing w:line="360" w:lineRule="auto"/>
        <w:jc w:val="both"/>
        <w:outlineLvl w:val="0"/>
        <w:rPr>
          <w:rFonts w:ascii="Bookman Old Style" w:hAnsi="Bookman Old Style" w:cs="Arial"/>
          <w:sz w:val="28"/>
          <w:szCs w:val="28"/>
        </w:rPr>
      </w:pPr>
    </w:p>
    <w:p w14:paraId="2189CFC3" w14:textId="77777777" w:rsidR="004B5ECB" w:rsidRDefault="004B5ECB" w:rsidP="004B5ECB">
      <w:pPr>
        <w:spacing w:line="360" w:lineRule="auto"/>
        <w:ind w:firstLine="708"/>
        <w:jc w:val="both"/>
        <w:outlineLvl w:val="0"/>
        <w:rPr>
          <w:rFonts w:ascii="Bookman Old Style" w:hAnsi="Bookman Old Style" w:cs="Arial"/>
          <w:sz w:val="28"/>
          <w:szCs w:val="28"/>
        </w:rPr>
      </w:pPr>
      <w:r>
        <w:rPr>
          <w:rFonts w:ascii="Bookman Old Style" w:hAnsi="Bookman Old Style" w:cs="Arial"/>
          <w:sz w:val="28"/>
          <w:szCs w:val="28"/>
        </w:rPr>
        <w:t xml:space="preserve">Ese estándar se deriva, entre otros instrumentos internacionales, de la </w:t>
      </w:r>
      <w:r w:rsidRPr="00A76CC7">
        <w:rPr>
          <w:rFonts w:ascii="Bookman Old Style" w:hAnsi="Bookman Old Style" w:cs="Arial"/>
          <w:sz w:val="28"/>
          <w:szCs w:val="28"/>
        </w:rPr>
        <w:t>Convención Americana sobre Derechos Humanos</w:t>
      </w:r>
      <w:r>
        <w:rPr>
          <w:rFonts w:ascii="Bookman Old Style" w:hAnsi="Bookman Old Style" w:cs="Arial"/>
          <w:sz w:val="28"/>
          <w:szCs w:val="28"/>
        </w:rPr>
        <w:t>, la cual previó como garantía judicial que «</w:t>
      </w:r>
      <w:r>
        <w:rPr>
          <w:rFonts w:ascii="Bookman Old Style" w:hAnsi="Bookman Old Style" w:cs="Arial"/>
          <w:i/>
          <w:sz w:val="28"/>
          <w:szCs w:val="28"/>
        </w:rPr>
        <w:t>[t]</w:t>
      </w:r>
      <w:r w:rsidRPr="00A76CC7">
        <w:rPr>
          <w:rFonts w:ascii="Bookman Old Style" w:hAnsi="Bookman Old Style" w:cs="Arial"/>
          <w:i/>
          <w:sz w:val="28"/>
          <w:szCs w:val="28"/>
        </w:rPr>
        <w:t xml:space="preserve">oda persona tiene derecho a ser oída, con las debidas garantías y </w:t>
      </w:r>
      <w:r w:rsidRPr="00FC6A2A">
        <w:rPr>
          <w:rFonts w:ascii="Bookman Old Style" w:hAnsi="Bookman Old Style" w:cs="Arial"/>
          <w:b/>
          <w:i/>
          <w:sz w:val="28"/>
          <w:szCs w:val="28"/>
        </w:rPr>
        <w:t>dentro de un plazo razonable</w:t>
      </w:r>
      <w:r w:rsidRPr="00A76CC7">
        <w:rPr>
          <w:rFonts w:ascii="Bookman Old Style" w:hAnsi="Bookman Old Style" w:cs="Arial"/>
          <w:i/>
          <w:sz w:val="28"/>
          <w:szCs w:val="28"/>
        </w:rPr>
        <w:t xml:space="preserve">, por un juez o tribunal </w:t>
      </w:r>
      <w:r w:rsidRPr="00A76CC7">
        <w:rPr>
          <w:rFonts w:ascii="Bookman Old Style" w:hAnsi="Bookman Old Style" w:cs="Arial"/>
          <w:i/>
          <w:sz w:val="28"/>
          <w:szCs w:val="28"/>
        </w:rPr>
        <w:lastRenderedPageBreak/>
        <w:t>competente, independiente e imparcial, establecido con anterioridad por la ley, en la sustanciación de cualquier acusación penal formulada contra ella, o para la determinación de sus derechos y obligaciones de orden civil, laboral, fiscal o de cualquier otro carácter</w:t>
      </w:r>
      <w:r>
        <w:rPr>
          <w:rFonts w:ascii="Bookman Old Style" w:hAnsi="Bookman Old Style" w:cs="Arial"/>
          <w:sz w:val="28"/>
          <w:szCs w:val="28"/>
        </w:rPr>
        <w:t>» (negrilla fuera de texto, artículo 8-1)</w:t>
      </w:r>
      <w:r w:rsidRPr="00A76CC7">
        <w:rPr>
          <w:rFonts w:ascii="Bookman Old Style" w:hAnsi="Bookman Old Style" w:cs="Arial"/>
          <w:sz w:val="28"/>
          <w:szCs w:val="28"/>
        </w:rPr>
        <w:t>.</w:t>
      </w:r>
    </w:p>
    <w:p w14:paraId="3EF422D6" w14:textId="77777777" w:rsidR="004B5ECB" w:rsidRDefault="004B5ECB" w:rsidP="004B5ECB">
      <w:pPr>
        <w:spacing w:line="360" w:lineRule="auto"/>
        <w:jc w:val="both"/>
        <w:outlineLvl w:val="0"/>
        <w:rPr>
          <w:rFonts w:ascii="Bookman Old Style" w:hAnsi="Bookman Old Style" w:cs="Arial"/>
          <w:sz w:val="28"/>
          <w:szCs w:val="28"/>
        </w:rPr>
      </w:pPr>
    </w:p>
    <w:p w14:paraId="36E95205" w14:textId="77777777" w:rsidR="004B5ECB" w:rsidRDefault="004B5ECB" w:rsidP="004B5ECB">
      <w:pPr>
        <w:spacing w:line="360" w:lineRule="auto"/>
        <w:ind w:firstLine="708"/>
        <w:jc w:val="both"/>
        <w:outlineLvl w:val="0"/>
        <w:rPr>
          <w:rFonts w:ascii="Bookman Old Style" w:hAnsi="Bookman Old Style" w:cs="Arial"/>
          <w:sz w:val="28"/>
          <w:szCs w:val="28"/>
        </w:rPr>
      </w:pPr>
      <w:r>
        <w:rPr>
          <w:rFonts w:ascii="Bookman Old Style" w:hAnsi="Bookman Old Style" w:cs="Arial"/>
          <w:sz w:val="28"/>
          <w:szCs w:val="28"/>
        </w:rPr>
        <w:t>Esta «</w:t>
      </w:r>
      <w:r w:rsidRPr="00F267A0">
        <w:rPr>
          <w:rFonts w:ascii="Bookman Old Style" w:hAnsi="Bookman Old Style" w:cs="Arial"/>
          <w:i/>
          <w:sz w:val="28"/>
          <w:szCs w:val="28"/>
        </w:rPr>
        <w:t>razonabilidad</w:t>
      </w:r>
      <w:r>
        <w:rPr>
          <w:rFonts w:ascii="Bookman Old Style" w:hAnsi="Bookman Old Style" w:cs="Arial"/>
          <w:sz w:val="28"/>
          <w:szCs w:val="28"/>
        </w:rPr>
        <w:t xml:space="preserve">» se expresa en la </w:t>
      </w:r>
      <w:r>
        <w:rPr>
          <w:rFonts w:ascii="Bookman Old Style" w:hAnsi="Bookman Old Style" w:cs="Arial"/>
          <w:i/>
          <w:sz w:val="28"/>
          <w:szCs w:val="28"/>
        </w:rPr>
        <w:t>garantía a obtener un pronunciamiento sin dilaciones indebidas</w:t>
      </w:r>
      <w:r>
        <w:rPr>
          <w:rFonts w:ascii="Bookman Old Style" w:hAnsi="Bookman Old Style" w:cs="Arial"/>
          <w:iCs/>
          <w:sz w:val="28"/>
          <w:szCs w:val="28"/>
        </w:rPr>
        <w:t xml:space="preserve">, esto es, </w:t>
      </w:r>
      <w:r>
        <w:rPr>
          <w:rFonts w:ascii="Bookman Old Style" w:hAnsi="Bookman Old Style" w:cs="Arial"/>
          <w:i/>
          <w:sz w:val="28"/>
          <w:szCs w:val="28"/>
        </w:rPr>
        <w:t>en un plazo razonable</w:t>
      </w:r>
      <w:r>
        <w:rPr>
          <w:rStyle w:val="Refdenotaalpie"/>
          <w:rFonts w:ascii="Bookman Old Style" w:hAnsi="Bookman Old Style" w:cs="Arial"/>
          <w:i/>
          <w:sz w:val="28"/>
          <w:szCs w:val="28"/>
        </w:rPr>
        <w:footnoteReference w:id="39"/>
      </w:r>
      <w:r>
        <w:rPr>
          <w:rFonts w:ascii="Bookman Old Style" w:hAnsi="Bookman Old Style" w:cs="Arial"/>
          <w:sz w:val="28"/>
          <w:szCs w:val="28"/>
        </w:rPr>
        <w:t xml:space="preserve">. La Corte Interamericana de Derechos Humanos, siguiendo los lineamientos del Tribunal Europeo de Derechos Humanos, aseguró: </w:t>
      </w:r>
    </w:p>
    <w:p w14:paraId="2FFC6155" w14:textId="77777777" w:rsidR="004B5ECB" w:rsidRDefault="004B5ECB" w:rsidP="004B5ECB">
      <w:pPr>
        <w:spacing w:line="360" w:lineRule="auto"/>
        <w:jc w:val="both"/>
        <w:outlineLvl w:val="0"/>
        <w:rPr>
          <w:rFonts w:ascii="Bookman Old Style" w:hAnsi="Bookman Old Style" w:cs="Arial"/>
          <w:sz w:val="28"/>
          <w:szCs w:val="28"/>
        </w:rPr>
      </w:pPr>
    </w:p>
    <w:p w14:paraId="002ED9B7" w14:textId="77777777" w:rsidR="004B5ECB" w:rsidRPr="00493C49" w:rsidRDefault="004B5ECB" w:rsidP="004B5ECB">
      <w:pPr>
        <w:spacing w:line="288" w:lineRule="auto"/>
        <w:ind w:left="708"/>
        <w:jc w:val="both"/>
        <w:outlineLvl w:val="0"/>
        <w:rPr>
          <w:rFonts w:ascii="Bookman Old Style" w:hAnsi="Bookman Old Style" w:cs="Arial"/>
          <w:sz w:val="24"/>
          <w:szCs w:val="24"/>
        </w:rPr>
      </w:pPr>
      <w:r w:rsidRPr="00493C49">
        <w:rPr>
          <w:rFonts w:ascii="Bookman Old Style" w:hAnsi="Bookman Old Style" w:cs="Arial"/>
          <w:i/>
          <w:sz w:val="24"/>
          <w:szCs w:val="24"/>
        </w:rPr>
        <w:t xml:space="preserve">El artículo 8.1 de la Convención también se refiere al plazo razonable. Este no es un concepto de sencilla definición. Se pueden invocar para precisarlo los elementos que ha señalado la Corte Europea de Derechos Humanos en varios fallos en los cuales se analizó este concepto, pues este artículo de la Convención Americana es equivalente en lo esencial, al 6 del Convenio Europeo para la Protección de Derechos Humanos y de las Libertades Fundamentales. De acuerdo con la Corte Europea, se deben tomar en cuenta tres elementos para determinar la razonabilidad del plazo en el cual se desarrolla el proceso: a) la complejidad del asunto; b) la actividad procesal del interesado; y c) la conducta de las autoridades judiciales (Ver entre otros, </w:t>
      </w:r>
      <w:proofErr w:type="spellStart"/>
      <w:r w:rsidRPr="00493C49">
        <w:rPr>
          <w:rFonts w:ascii="Bookman Old Style" w:hAnsi="Bookman Old Style" w:cs="Arial"/>
          <w:i/>
          <w:sz w:val="24"/>
          <w:szCs w:val="24"/>
        </w:rPr>
        <w:t>Eur</w:t>
      </w:r>
      <w:proofErr w:type="spellEnd"/>
      <w:r w:rsidRPr="00493C49">
        <w:rPr>
          <w:rFonts w:ascii="Bookman Old Style" w:hAnsi="Bookman Old Style" w:cs="Arial"/>
          <w:i/>
          <w:sz w:val="24"/>
          <w:szCs w:val="24"/>
        </w:rPr>
        <w:t xml:space="preserve">. </w:t>
      </w:r>
      <w:r w:rsidRPr="00493C49">
        <w:rPr>
          <w:rFonts w:ascii="Bookman Old Style" w:hAnsi="Bookman Old Style" w:cs="Arial"/>
          <w:i/>
          <w:sz w:val="24"/>
          <w:szCs w:val="24"/>
          <w:lang w:val="en-US"/>
        </w:rPr>
        <w:t xml:space="preserve">Court H.R., Motta judgment of 19 February 1991, Series A no. 195-A, </w:t>
      </w:r>
      <w:proofErr w:type="spellStart"/>
      <w:r w:rsidRPr="00493C49">
        <w:rPr>
          <w:rFonts w:ascii="Bookman Old Style" w:hAnsi="Bookman Old Style" w:cs="Arial"/>
          <w:i/>
          <w:sz w:val="24"/>
          <w:szCs w:val="24"/>
          <w:lang w:val="en-US"/>
        </w:rPr>
        <w:t>párr</w:t>
      </w:r>
      <w:proofErr w:type="spellEnd"/>
      <w:r w:rsidRPr="00493C49">
        <w:rPr>
          <w:rFonts w:ascii="Bookman Old Style" w:hAnsi="Bookman Old Style" w:cs="Arial"/>
          <w:i/>
          <w:sz w:val="24"/>
          <w:szCs w:val="24"/>
          <w:lang w:val="en-US"/>
        </w:rPr>
        <w:t xml:space="preserve">. 30; Eur. Court H.R., Ruiz </w:t>
      </w:r>
      <w:proofErr w:type="spellStart"/>
      <w:r w:rsidRPr="00493C49">
        <w:rPr>
          <w:rFonts w:ascii="Bookman Old Style" w:hAnsi="Bookman Old Style" w:cs="Arial"/>
          <w:i/>
          <w:sz w:val="24"/>
          <w:szCs w:val="24"/>
          <w:lang w:val="en-US"/>
        </w:rPr>
        <w:t>Mateos</w:t>
      </w:r>
      <w:proofErr w:type="spellEnd"/>
      <w:r w:rsidRPr="00493C49">
        <w:rPr>
          <w:rFonts w:ascii="Bookman Old Style" w:hAnsi="Bookman Old Style" w:cs="Arial"/>
          <w:i/>
          <w:sz w:val="24"/>
          <w:szCs w:val="24"/>
          <w:lang w:val="en-US"/>
        </w:rPr>
        <w:t xml:space="preserve"> v. Spain judgment of 23 June 1993, Series A no. 262, </w:t>
      </w:r>
      <w:proofErr w:type="spellStart"/>
      <w:r w:rsidRPr="00493C49">
        <w:rPr>
          <w:rFonts w:ascii="Bookman Old Style" w:hAnsi="Bookman Old Style" w:cs="Arial"/>
          <w:i/>
          <w:sz w:val="24"/>
          <w:szCs w:val="24"/>
          <w:lang w:val="en-US"/>
        </w:rPr>
        <w:t>párr</w:t>
      </w:r>
      <w:proofErr w:type="spellEnd"/>
      <w:r w:rsidRPr="00493C49">
        <w:rPr>
          <w:rFonts w:ascii="Bookman Old Style" w:hAnsi="Bookman Old Style" w:cs="Arial"/>
          <w:i/>
          <w:sz w:val="24"/>
          <w:szCs w:val="24"/>
          <w:lang w:val="en-US"/>
        </w:rPr>
        <w:t xml:space="preserve">. </w:t>
      </w:r>
      <w:r w:rsidRPr="00493C49">
        <w:rPr>
          <w:rFonts w:ascii="Bookman Old Style" w:hAnsi="Bookman Old Style" w:cs="Arial"/>
          <w:i/>
          <w:sz w:val="24"/>
          <w:szCs w:val="24"/>
        </w:rPr>
        <w:t>30)…</w:t>
      </w:r>
      <w:r w:rsidRPr="00493C49">
        <w:rPr>
          <w:rStyle w:val="Refdenotaalpie"/>
          <w:rFonts w:ascii="Bookman Old Style" w:hAnsi="Bookman Old Style" w:cs="Arial"/>
          <w:sz w:val="24"/>
          <w:szCs w:val="24"/>
        </w:rPr>
        <w:footnoteReference w:id="40"/>
      </w:r>
      <w:r w:rsidRPr="00493C49">
        <w:rPr>
          <w:rFonts w:ascii="Bookman Old Style" w:hAnsi="Bookman Old Style" w:cs="Arial"/>
          <w:sz w:val="24"/>
          <w:szCs w:val="24"/>
        </w:rPr>
        <w:t>.</w:t>
      </w:r>
    </w:p>
    <w:p w14:paraId="2063012C" w14:textId="77777777" w:rsidR="004B5ECB" w:rsidRDefault="004B5ECB" w:rsidP="004B5ECB">
      <w:pPr>
        <w:spacing w:line="360" w:lineRule="auto"/>
        <w:jc w:val="both"/>
        <w:outlineLvl w:val="0"/>
        <w:rPr>
          <w:rFonts w:ascii="Bookman Old Style" w:hAnsi="Bookman Old Style" w:cs="Arial"/>
          <w:sz w:val="28"/>
          <w:szCs w:val="28"/>
        </w:rPr>
      </w:pPr>
    </w:p>
    <w:p w14:paraId="1130B79A" w14:textId="77777777" w:rsidR="004B5ECB" w:rsidRDefault="004B5ECB" w:rsidP="004B5ECB">
      <w:pPr>
        <w:spacing w:line="360" w:lineRule="auto"/>
        <w:jc w:val="both"/>
        <w:outlineLvl w:val="0"/>
        <w:rPr>
          <w:rFonts w:ascii="Bookman Old Style" w:hAnsi="Bookman Old Style" w:cs="Arial"/>
          <w:sz w:val="28"/>
          <w:szCs w:val="28"/>
        </w:rPr>
      </w:pPr>
      <w:r>
        <w:rPr>
          <w:rFonts w:ascii="Bookman Old Style" w:hAnsi="Bookman Old Style" w:cs="Arial"/>
          <w:sz w:val="28"/>
          <w:szCs w:val="28"/>
        </w:rPr>
        <w:lastRenderedPageBreak/>
        <w:t xml:space="preserve">Y después puntualizó: </w:t>
      </w:r>
    </w:p>
    <w:p w14:paraId="15003CCE" w14:textId="77777777" w:rsidR="004B5ECB" w:rsidRDefault="004B5ECB" w:rsidP="004B5ECB">
      <w:pPr>
        <w:spacing w:line="360" w:lineRule="auto"/>
        <w:jc w:val="both"/>
        <w:outlineLvl w:val="0"/>
        <w:rPr>
          <w:rFonts w:ascii="Bookman Old Style" w:hAnsi="Bookman Old Style" w:cs="Arial"/>
          <w:sz w:val="28"/>
          <w:szCs w:val="28"/>
        </w:rPr>
      </w:pPr>
    </w:p>
    <w:p w14:paraId="4529649B" w14:textId="77777777" w:rsidR="004B5ECB" w:rsidRPr="00493C49" w:rsidRDefault="004B5ECB" w:rsidP="004B5ECB">
      <w:pPr>
        <w:spacing w:line="288" w:lineRule="auto"/>
        <w:ind w:left="708"/>
        <w:jc w:val="both"/>
        <w:outlineLvl w:val="0"/>
        <w:rPr>
          <w:rFonts w:ascii="Bookman Old Style" w:hAnsi="Bookman Old Style" w:cs="Arial"/>
          <w:i/>
          <w:sz w:val="24"/>
          <w:szCs w:val="24"/>
        </w:rPr>
      </w:pPr>
      <w:r w:rsidRPr="00493C49">
        <w:rPr>
          <w:rFonts w:ascii="Bookman Old Style" w:hAnsi="Bookman Old Style" w:cs="Arial"/>
          <w:i/>
          <w:sz w:val="24"/>
          <w:szCs w:val="24"/>
        </w:rPr>
        <w:t>[E]n su jurisprudencia la Corte ha establecido que el derecho de acceso a la justicia debe asegurar la determinación de los derechos de la persona en un tiempo razonable. La falta de razonabilidad en el plazo constituye, en principio, por sí misma, una violación de las garantías judiciales. Asimismo, este Tribunal ha señalado que el ‘plazo razonable’ al que se refiere el artículo 8.1 de la Convención se debe apreciar en relación con la duración total del procedimiento que se desarrolla hasta que se dicta la sentencia definitiva</w:t>
      </w:r>
      <w:r>
        <w:rPr>
          <w:rFonts w:ascii="Bookman Old Style" w:hAnsi="Bookman Old Style" w:cs="Arial"/>
          <w:i/>
          <w:sz w:val="24"/>
          <w:szCs w:val="24"/>
        </w:rPr>
        <w:t>…</w:t>
      </w:r>
    </w:p>
    <w:p w14:paraId="600569DF" w14:textId="77777777" w:rsidR="004B5ECB" w:rsidRPr="00493C49" w:rsidRDefault="004B5ECB" w:rsidP="004B5ECB">
      <w:pPr>
        <w:spacing w:line="288" w:lineRule="auto"/>
        <w:ind w:left="708"/>
        <w:jc w:val="both"/>
        <w:outlineLvl w:val="0"/>
        <w:rPr>
          <w:rFonts w:ascii="Bookman Old Style" w:hAnsi="Bookman Old Style" w:cs="Arial"/>
          <w:i/>
          <w:sz w:val="24"/>
          <w:szCs w:val="24"/>
        </w:rPr>
      </w:pPr>
    </w:p>
    <w:p w14:paraId="4ABB6880" w14:textId="77777777" w:rsidR="004B5ECB" w:rsidRPr="00493C49" w:rsidRDefault="004B5ECB" w:rsidP="004B5ECB">
      <w:pPr>
        <w:spacing w:line="288" w:lineRule="auto"/>
        <w:ind w:left="708"/>
        <w:jc w:val="both"/>
        <w:outlineLvl w:val="0"/>
        <w:rPr>
          <w:rFonts w:ascii="Bookman Old Style" w:hAnsi="Bookman Old Style" w:cs="Arial"/>
          <w:i/>
          <w:sz w:val="24"/>
          <w:szCs w:val="24"/>
        </w:rPr>
      </w:pPr>
      <w:r w:rsidRPr="00493C49">
        <w:rPr>
          <w:rFonts w:ascii="Bookman Old Style" w:hAnsi="Bookman Old Style" w:cs="Arial"/>
          <w:i/>
          <w:sz w:val="24"/>
          <w:szCs w:val="24"/>
        </w:rPr>
        <w:t>La Corte usualmente ha considerado los siguientes elementos para determinar la razonabilidad del plazo del proceso judicial: a) complejidad del asunto; b) actividad procesal del interesado; c) conducta de las autoridades judiciales, y d) afectación generada en la situación jurídica de la persona involucrada en el proceso…</w:t>
      </w:r>
    </w:p>
    <w:p w14:paraId="12A4E433" w14:textId="77777777" w:rsidR="004B5ECB" w:rsidRPr="00493C49" w:rsidRDefault="004B5ECB" w:rsidP="004B5ECB">
      <w:pPr>
        <w:spacing w:line="288" w:lineRule="auto"/>
        <w:ind w:left="708"/>
        <w:jc w:val="both"/>
        <w:outlineLvl w:val="0"/>
        <w:rPr>
          <w:rFonts w:ascii="Bookman Old Style" w:hAnsi="Bookman Old Style" w:cs="Arial"/>
          <w:i/>
          <w:sz w:val="24"/>
          <w:szCs w:val="24"/>
        </w:rPr>
      </w:pPr>
    </w:p>
    <w:p w14:paraId="5AD32901" w14:textId="77777777" w:rsidR="004B5ECB" w:rsidRPr="00493C49" w:rsidRDefault="004B5ECB" w:rsidP="004B5ECB">
      <w:pPr>
        <w:spacing w:line="288" w:lineRule="auto"/>
        <w:ind w:left="708"/>
        <w:jc w:val="both"/>
        <w:outlineLvl w:val="0"/>
        <w:rPr>
          <w:rFonts w:ascii="Bookman Old Style" w:hAnsi="Bookman Old Style" w:cs="Arial"/>
          <w:i/>
          <w:sz w:val="24"/>
          <w:szCs w:val="24"/>
        </w:rPr>
      </w:pPr>
      <w:r w:rsidRPr="00493C49">
        <w:rPr>
          <w:rFonts w:ascii="Bookman Old Style" w:hAnsi="Bookman Old Style" w:cs="Arial"/>
          <w:i/>
          <w:sz w:val="24"/>
          <w:szCs w:val="24"/>
        </w:rPr>
        <w:t>Sin perjuicio de lo anterior, la Corte destaca que los retrasos causados por las acciones u omisiones de cualquiera de las dos partes se deben tomar en cuenta al analizar si el proceso ha sido llevado a cabo en un plazo razonable…</w:t>
      </w:r>
    </w:p>
    <w:p w14:paraId="71D8F935" w14:textId="77777777" w:rsidR="004B5ECB" w:rsidRPr="00493C49" w:rsidRDefault="004B5ECB" w:rsidP="004B5ECB">
      <w:pPr>
        <w:spacing w:line="288" w:lineRule="auto"/>
        <w:ind w:left="708"/>
        <w:jc w:val="both"/>
        <w:outlineLvl w:val="0"/>
        <w:rPr>
          <w:rFonts w:ascii="Bookman Old Style" w:hAnsi="Bookman Old Style" w:cs="Arial"/>
          <w:i/>
          <w:sz w:val="24"/>
          <w:szCs w:val="24"/>
        </w:rPr>
      </w:pPr>
    </w:p>
    <w:p w14:paraId="2BDD4B09" w14:textId="77777777" w:rsidR="004B5ECB" w:rsidRPr="00493C49" w:rsidRDefault="004B5ECB" w:rsidP="004B5ECB">
      <w:pPr>
        <w:spacing w:line="288" w:lineRule="auto"/>
        <w:ind w:left="708"/>
        <w:jc w:val="both"/>
        <w:outlineLvl w:val="0"/>
        <w:rPr>
          <w:rFonts w:ascii="Bookman Old Style" w:hAnsi="Bookman Old Style" w:cs="Arial"/>
          <w:sz w:val="24"/>
          <w:szCs w:val="24"/>
        </w:rPr>
      </w:pPr>
      <w:r w:rsidRPr="00493C49">
        <w:rPr>
          <w:rFonts w:ascii="Bookman Old Style" w:hAnsi="Bookman Old Style" w:cs="Arial"/>
          <w:i/>
          <w:sz w:val="24"/>
          <w:szCs w:val="24"/>
        </w:rPr>
        <w:t>La Corte recuerda que es el Estado, a través de sus autoridades judiciales, quien debe conducir el proceso. Al respecto, conforme la legislación procesal civil aplicable al presente caso, el juez tiene el deber de dirigir el procedimiento, manteniendo la igualdad de las partes en el proceso, vigilando que la tramitación de la causa procure la mayor economía procesal y evitando la paralización del proceso…</w:t>
      </w:r>
      <w:r w:rsidRPr="00493C49">
        <w:rPr>
          <w:rStyle w:val="Refdenotaalpie"/>
          <w:rFonts w:ascii="Bookman Old Style" w:hAnsi="Bookman Old Style" w:cs="Arial"/>
          <w:i/>
          <w:sz w:val="24"/>
          <w:szCs w:val="24"/>
        </w:rPr>
        <w:footnoteReference w:id="41"/>
      </w:r>
    </w:p>
    <w:p w14:paraId="63945795" w14:textId="77777777" w:rsidR="004B5ECB" w:rsidRPr="003C573D" w:rsidRDefault="004B5ECB" w:rsidP="004B5ECB">
      <w:pPr>
        <w:widowControl w:val="0"/>
        <w:spacing w:line="360" w:lineRule="auto"/>
        <w:jc w:val="both"/>
        <w:rPr>
          <w:rFonts w:ascii="Bookman Old Style" w:hAnsi="Bookman Old Style"/>
          <w:sz w:val="28"/>
          <w:szCs w:val="28"/>
        </w:rPr>
      </w:pPr>
    </w:p>
    <w:p w14:paraId="4CF0DBA0" w14:textId="77777777" w:rsidR="004B5ECB" w:rsidRPr="00121936" w:rsidRDefault="004B5ECB" w:rsidP="004B5ECB">
      <w:pPr>
        <w:widowControl w:val="0"/>
        <w:spacing w:line="360" w:lineRule="auto"/>
        <w:ind w:firstLine="708"/>
        <w:jc w:val="both"/>
        <w:rPr>
          <w:rFonts w:ascii="Bookman Old Style" w:hAnsi="Bookman Old Style"/>
          <w:sz w:val="28"/>
          <w:szCs w:val="28"/>
        </w:rPr>
      </w:pPr>
      <w:r w:rsidRPr="003C573D">
        <w:rPr>
          <w:rFonts w:ascii="Bookman Old Style" w:hAnsi="Bookman Old Style"/>
          <w:sz w:val="28"/>
          <w:szCs w:val="28"/>
        </w:rPr>
        <w:t xml:space="preserve">2. La </w:t>
      </w:r>
      <w:r>
        <w:rPr>
          <w:rFonts w:ascii="Bookman Old Style" w:hAnsi="Bookman Old Style"/>
          <w:sz w:val="28"/>
          <w:szCs w:val="28"/>
        </w:rPr>
        <w:t xml:space="preserve">antítesis de la oportuna resolución de los asuntos sometidos a composición jurisdiccional es la denominada </w:t>
      </w:r>
      <w:r>
        <w:rPr>
          <w:rFonts w:ascii="Bookman Old Style" w:hAnsi="Bookman Old Style"/>
          <w:sz w:val="28"/>
          <w:szCs w:val="28"/>
        </w:rPr>
        <w:lastRenderedPageBreak/>
        <w:t>mora judicial, entendida como la desatención del funcionario judicial o administrativo «</w:t>
      </w:r>
      <w:r w:rsidRPr="00121936">
        <w:rPr>
          <w:rFonts w:ascii="Bookman Old Style" w:hAnsi="Bookman Old Style"/>
          <w:i/>
          <w:iCs/>
          <w:sz w:val="28"/>
          <w:szCs w:val="28"/>
        </w:rPr>
        <w:t>de impulsar y decidir la actuación dentro de los periodos señalados por el ordenamiento</w:t>
      </w:r>
      <w:r>
        <w:rPr>
          <w:rFonts w:ascii="Bookman Old Style" w:hAnsi="Bookman Old Style"/>
          <w:i/>
          <w:iCs/>
          <w:sz w:val="28"/>
          <w:szCs w:val="28"/>
        </w:rPr>
        <w:t>… sin motivo justificado</w:t>
      </w:r>
      <w:r>
        <w:rPr>
          <w:rFonts w:ascii="Bookman Old Style" w:hAnsi="Bookman Old Style"/>
          <w:sz w:val="28"/>
          <w:szCs w:val="28"/>
        </w:rPr>
        <w:t xml:space="preserve">» (STC5316, 13 </w:t>
      </w:r>
      <w:proofErr w:type="spellStart"/>
      <w:r>
        <w:rPr>
          <w:rFonts w:ascii="Bookman Old Style" w:hAnsi="Bookman Old Style"/>
          <w:sz w:val="28"/>
          <w:szCs w:val="28"/>
        </w:rPr>
        <w:t>may</w:t>
      </w:r>
      <w:proofErr w:type="spellEnd"/>
      <w:r>
        <w:rPr>
          <w:rFonts w:ascii="Bookman Old Style" w:hAnsi="Bookman Old Style"/>
          <w:sz w:val="28"/>
          <w:szCs w:val="28"/>
        </w:rPr>
        <w:t xml:space="preserve">. 2021, rad. </w:t>
      </w:r>
      <w:proofErr w:type="spellStart"/>
      <w:r>
        <w:rPr>
          <w:rFonts w:ascii="Bookman Old Style" w:hAnsi="Bookman Old Style"/>
          <w:sz w:val="28"/>
          <w:szCs w:val="28"/>
        </w:rPr>
        <w:t>n.°</w:t>
      </w:r>
      <w:proofErr w:type="spellEnd"/>
      <w:r>
        <w:rPr>
          <w:rFonts w:ascii="Bookman Old Style" w:hAnsi="Bookman Old Style"/>
          <w:sz w:val="28"/>
          <w:szCs w:val="28"/>
        </w:rPr>
        <w:t xml:space="preserve"> 2021-00015-02).</w:t>
      </w:r>
    </w:p>
    <w:p w14:paraId="4F266390" w14:textId="77777777" w:rsidR="004B5ECB" w:rsidRDefault="004B5ECB" w:rsidP="004B5ECB">
      <w:pPr>
        <w:widowControl w:val="0"/>
        <w:spacing w:line="360" w:lineRule="auto"/>
        <w:jc w:val="both"/>
        <w:rPr>
          <w:rFonts w:ascii="Bookman Old Style" w:hAnsi="Bookman Old Style"/>
          <w:sz w:val="28"/>
          <w:szCs w:val="28"/>
        </w:rPr>
      </w:pPr>
    </w:p>
    <w:p w14:paraId="0EC66E5F" w14:textId="77777777" w:rsidR="004B5ECB" w:rsidRPr="003C573D" w:rsidRDefault="004B5ECB" w:rsidP="004B5ECB">
      <w:pPr>
        <w:widowControl w:val="0"/>
        <w:spacing w:line="360" w:lineRule="auto"/>
        <w:ind w:left="-284" w:firstLine="709"/>
        <w:jc w:val="both"/>
        <w:rPr>
          <w:rFonts w:ascii="Bookman Old Style" w:hAnsi="Bookman Old Style"/>
          <w:sz w:val="28"/>
          <w:szCs w:val="28"/>
        </w:rPr>
      </w:pPr>
      <w:r w:rsidRPr="003C573D">
        <w:rPr>
          <w:rFonts w:ascii="Bookman Old Style" w:hAnsi="Bookman Old Style"/>
          <w:sz w:val="28"/>
          <w:szCs w:val="28"/>
        </w:rPr>
        <w:t xml:space="preserve">La mora judicial es uno de los principales problemas que aqueja a la administración de justicia del país. </w:t>
      </w:r>
      <w:r>
        <w:rPr>
          <w:noProof/>
        </w:rPr>
        <mc:AlternateContent>
          <mc:Choice Requires="wps">
            <w:drawing>
              <wp:anchor distT="0" distB="0" distL="4294967294" distR="4294967294" simplePos="0" relativeHeight="251662336" behindDoc="0" locked="0" layoutInCell="0" allowOverlap="1" wp14:anchorId="69DEC1DF" wp14:editId="21C08179">
                <wp:simplePos x="0" y="0"/>
                <wp:positionH relativeFrom="column">
                  <wp:posOffset>7219314</wp:posOffset>
                </wp:positionH>
                <wp:positionV relativeFrom="paragraph">
                  <wp:posOffset>891540</wp:posOffset>
                </wp:positionV>
                <wp:extent cx="0" cy="308610"/>
                <wp:effectExtent l="0" t="0" r="38100" b="34290"/>
                <wp:wrapSquare wrapText="bothSides"/>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DB4540" id="Conector recto 2" o:spid="_x0000_s1026" style="position:absolute;z-index:25166233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568.45pt,70.2pt" to="568.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d7xAEAAHIDAAAOAAAAZHJzL2Uyb0RvYy54bWysU8tu2zAQvBfoPxC817JdNA0Eyzk4TS9p&#10;ayDpB6xJSiJCcYklbcl/3yX9aNreivhAk/sY7sxQq7tpcOJgKFr0jVzM5lIYr1Bb3zXy5/PDh1sp&#10;YgKvwaE3jTyaKO/W79+txlCbJfbotCHBID7WY2hkn1Koqyqq3gwQZxiM52SLNEDiI3WVJhgZfXDV&#10;cj6/qUYkHQiViZGj96ekXBf8tjUq/WjbaJJwjeTZUlmprLu8VusV1B1B6K06jwH/McUA1vOlV6h7&#10;SCD2ZP+BGqwijNimmcKhwra1yhQOzGYx/4vNUw/BFC4sTgxXmeLbwarvhy0Jqxu5lMLDwBZt2CiV&#10;kATlP7HMGo0h1ly68VvKLNXkn8IjqpcoPG568J0psz4fAwMsckf1R0s+xMA37cZvqLkG9gmLYFNL&#10;Q4ZkKcRUfDlefTFTEuoUVBz9OL+9WRTLKqgvfYFi+mpwEHnTSGd9VgxqODzGlOeA+lKSwx4frHPF&#10;defFyKCLz59KQ0RndU7mskjdbuNIHCC/m/IrpDjzuoxw73UB6w3oL+d9AutOe77c+bMWmf5JyB3q&#10;45YuGrGxZcrzI8wv5/W5dP/+VNa/AAAA//8DAFBLAwQUAAYACAAAACEAErCgNuAAAAANAQAADwAA&#10;AGRycy9kb3ducmV2LnhtbEyPQU/DMAyF70j8h8hI3FgymKqtNJ1oBYcdQGJDAm5ZY9qKxilNupV/&#10;jycOcHvPfnr+nK0n14kDDqH1pGE+UyCQKm9bqjW87B6uliBCNGRN5wk1fGOAdX5+lpnU+iM942Eb&#10;a8ElFFKjoYmxT6UMVYPOhJnvkXj34QdnItuhlnYwRy53nbxWKpHOtMQXGtNj2WD1uR2dhhhe357i&#10;uPkqkuKxxF3xXt7LjdaXF9PdLYiIU/wLwwmf0SFnpr0fyQbRsZ/fJCvOslqoBYhT5He0Z7VcKZB5&#10;Jv9/kf8AAAD//wMAUEsBAi0AFAAGAAgAAAAhALaDOJL+AAAA4QEAABMAAAAAAAAAAAAAAAAAAAAA&#10;AFtDb250ZW50X1R5cGVzXS54bWxQSwECLQAUAAYACAAAACEAOP0h/9YAAACUAQAACwAAAAAAAAAA&#10;AAAAAAAvAQAAX3JlbHMvLnJlbHNQSwECLQAUAAYACAAAACEAK8dHe8QBAAByAwAADgAAAAAAAAAA&#10;AAAAAAAuAgAAZHJzL2Uyb0RvYy54bWxQSwECLQAUAAYACAAAACEAErCgNuAAAAANAQAADwAAAAAA&#10;AAAAAAAAAAAeBAAAZHJzL2Rvd25yZXYueG1sUEsFBgAAAAAEAAQA8wAAACsFAAAAAA==&#10;" o:allowincell="f" strokeweight=".25pt">
                <w10:wrap type="square"/>
              </v:line>
            </w:pict>
          </mc:Fallback>
        </mc:AlternateContent>
      </w:r>
      <w:r w:rsidRPr="003C573D">
        <w:rPr>
          <w:rFonts w:ascii="Bookman Old Style" w:hAnsi="Bookman Old Style"/>
          <w:sz w:val="28"/>
          <w:szCs w:val="28"/>
        </w:rPr>
        <w:t>De acuerdo con datos del Banco Mundial, la prolongada duración de los procesos judiciales es una de las razones para que la administración de justicia colombiana ocupe el puesto 177, entre 190 Estados, es decir, se encuentra entre los últimos lugares del mundo y solamente supera</w:t>
      </w:r>
      <w:r>
        <w:rPr>
          <w:rFonts w:ascii="Bookman Old Style" w:hAnsi="Bookman Old Style"/>
          <w:sz w:val="28"/>
          <w:szCs w:val="28"/>
        </w:rPr>
        <w:t xml:space="preserve"> a República Democrática del Congo, Comoras, Gabón, Afganistán, Camboya, República Centroafricana, Micronesia (Estados Federados), Santo Tomé y Príncipe, Angola y Myanmar</w:t>
      </w:r>
      <w:r>
        <w:rPr>
          <w:noProof/>
        </w:rPr>
        <w:t xml:space="preserve"> </w:t>
      </w:r>
      <w:r>
        <w:rPr>
          <w:noProof/>
        </w:rPr>
        <mc:AlternateContent>
          <mc:Choice Requires="wps">
            <w:drawing>
              <wp:anchor distT="0" distB="0" distL="4294967294" distR="4294967294" simplePos="0" relativeHeight="251663360" behindDoc="0" locked="0" layoutInCell="0" allowOverlap="1" wp14:anchorId="7133C34A" wp14:editId="69D7E0E5">
                <wp:simplePos x="0" y="0"/>
                <wp:positionH relativeFrom="column">
                  <wp:posOffset>7219314</wp:posOffset>
                </wp:positionH>
                <wp:positionV relativeFrom="paragraph">
                  <wp:posOffset>-367665</wp:posOffset>
                </wp:positionV>
                <wp:extent cx="0" cy="448945"/>
                <wp:effectExtent l="0" t="0" r="38100" b="27305"/>
                <wp:wrapSquare wrapText="bothSides"/>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B94CC7" id="Conector recto 3" o:spid="_x0000_s1026" style="position:absolute;z-index:25166336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568.45pt,-28.95pt" to="568.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mSxAEAAHIDAAAOAAAAZHJzL2Uyb0RvYy54bWysU8Fy2yAQvXem/8Bwr2UnTptoLOfgNL2k&#10;rWeSfsAakMQUWGbBlvz3BSy7TXvLVAe0LLtv972F1f1oDTsoChpdwxezOWfKCZTadQ3/8fL44Zaz&#10;EMFJMOhUw48q8Pv1+3erwdfqCns0UhFLIC7Ug294H6OvqyqIXlkIM/TKpcMWyUJMW+oqSTAkdGuq&#10;q/n8YzUgSU8oVAjJ+3A65OuC37ZKxO9tG1RkpuGpt1hWKusur9V6BXVH4HstpjbgDV1Y0C4VvUA9&#10;QAS2J/0PlNWCMGAbZwJthW2rhSocEpvF/C82zz14VbgkcYK/yBT+H6z4dtgS07Lh15w5sGlEmzQo&#10;EZEY5R+7zhoNPtQpdOO2lFmK0T37JxQ/A3O46cF1qvT6cvQJYJEzqlcpeRN8qrQbvqJMMbCPWAQb&#10;W7IZMknBxjKX42UuaoxMnJwieZfL27vlTQGH+pznKcQvCi3LRsONdlkxqOHwFGLuA+pzSHY7fNTG&#10;lKkbx4ZEe/HppiQENFrmwxwWqNttDLED5HtTvqnuqzDCvZMFrFcgP092BG1Odipu3KRFpn8Scofy&#10;uKWzRmmwpcvpEuab8+e+ZP9+KutfAAAA//8DAFBLAwQUAAYACAAAACEAnup5/+AAAAAMAQAADwAA&#10;AGRycy9kb3ducmV2LnhtbEyPQU/DMAyF70j8h8hI3LZ0Q5RRmk60gsMOTGKbNLhljWkrGqc06Vb+&#10;PZ44wO09++n5c7ocbSuO2PvGkYLZNAKBVDrTUKVgt32eLED4oMno1hEq+EYPy+zyItWJcSd6xeMm&#10;VIJLyCdaQR1Cl0jpyxqt9lPXIfHuw/VWB7Z9JU2vT1xuWzmPolha3RBfqHWHRY3l52awCoLfv63D&#10;sPrK4/ylwG3+XjzJlVLXV+PjA4iAY/gLwxmf0SFjpoMbyHjRsp/dxPecVTC5vWNxjvyODqzmC5BZ&#10;Kv8/kf0AAAD//wMAUEsBAi0AFAAGAAgAAAAhALaDOJL+AAAA4QEAABMAAAAAAAAAAAAAAAAAAAAA&#10;AFtDb250ZW50X1R5cGVzXS54bWxQSwECLQAUAAYACAAAACEAOP0h/9YAAACUAQAACwAAAAAAAAAA&#10;AAAAAAAvAQAAX3JlbHMvLnJlbHNQSwECLQAUAAYACAAAACEAKumJksQBAAByAwAADgAAAAAAAAAA&#10;AAAAAAAuAgAAZHJzL2Uyb0RvYy54bWxQSwECLQAUAAYACAAAACEAnup5/+AAAAAMAQAADwAAAAAA&#10;AAAAAAAAAAAeBAAAZHJzL2Rvd25yZXYueG1sUEsFBgAAAAAEAAQA8wAAACsFAAAAAA==&#10;" o:allowincell="f" strokeweight=".25pt">
                <w10:wrap type="square"/>
              </v:line>
            </w:pict>
          </mc:Fallback>
        </mc:AlternateContent>
      </w:r>
      <w:r>
        <w:rPr>
          <w:noProof/>
        </w:rPr>
        <mc:AlternateContent>
          <mc:Choice Requires="wps">
            <w:drawing>
              <wp:anchor distT="0" distB="0" distL="4294967294" distR="4294967294" simplePos="0" relativeHeight="251664384" behindDoc="0" locked="0" layoutInCell="0" allowOverlap="1" wp14:anchorId="19DBAA81" wp14:editId="1B28CD44">
                <wp:simplePos x="0" y="0"/>
                <wp:positionH relativeFrom="column">
                  <wp:posOffset>7219314</wp:posOffset>
                </wp:positionH>
                <wp:positionV relativeFrom="paragraph">
                  <wp:posOffset>342900</wp:posOffset>
                </wp:positionV>
                <wp:extent cx="0" cy="890270"/>
                <wp:effectExtent l="0" t="0" r="38100" b="24130"/>
                <wp:wrapSquare wrapText="bothSides"/>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ECF5BA" id="Conector recto 4" o:spid="_x0000_s1026" style="position:absolute;z-index:25166438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from="568.45pt,27pt" to="568.4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y6xQEAAHIDAAAOAAAAZHJzL2Uyb0RvYy54bWysU8ty2yAU3Xem/8CwryW7aZNoLGfhNN2k&#10;rWeSfMA1IIkpcJkLtuS/L+BH0nbXqRcY7uNwzzloeTdZw/aKgkbX8vms5kw5gVK7vuUvzw8fbjgL&#10;EZwEg061/KACv1u9f7ccfaMWOKCRilgCcaEZfcuHGH1TVUEMykKYoVcuJTskCzEdqa8kwZjQrakW&#10;df25GpGkJxQqhBS9Pyb5quB3nRLxR9cFFZlpeZotlpXKus1rtVpC0xP4QYvTGPAPU1jQLl16gbqH&#10;CGxH+i8oqwVhwC7OBNoKu04LVTgkNvP6DzZPA3hVuCRxgr/IFP4frPi+3xDTsuVXnDmwyaJ1MkpE&#10;JEb5j11ljUYfmlS6dhvKLMXknvwjip+BOVwP4HpVZn0++AQwzx3Vby35EHy6aTt+Q5lqYBexCDZ1&#10;ZDNkkoJNxZfDxRc1RSaOQZGiN7f14rpYVkFz7vMU4leFluVNy412WTFoYP8YYp4DmnNJDjt80MYU&#10;141jY8s/zq8/lYaARsuczGWB+u3aENtDfjflV0ilzNsywp2TBWxQIL+c9hG0Oe7T5cadtMj0j0Ju&#10;UR42dNYoGVumPD3C/HLenkv366ey+gUAAP//AwBQSwMEFAAGAAgAAAAhAOS2D3HhAAAADAEAAA8A&#10;AABkcnMvZG93bnJldi54bWxMj0FPwzAMhe9I/IfISNxYujGqrTSdaAWHHZjENgm4ZY1pKxqnNOlW&#10;/j2eOMDNz356/l66Gm0rjtj7xpGC6SQCgVQ601ClYL97ulmA8EGT0a0jVPCNHlbZ5UWqE+NO9ILH&#10;bagEh5BPtII6hC6R0pc1Wu0nrkPi24frrQ4s+0qaXp843LZyFkWxtLoh/lDrDosay8/tYBUE//q2&#10;CcP6K4/z5wJ3+XvxKNdKXV+ND/cgAo7hzwxnfEaHjJkObiDjRct6ehsv2avgbs6lzo7fzYGn5XwG&#10;Mkvl/xLZDwAAAP//AwBQSwECLQAUAAYACAAAACEAtoM4kv4AAADhAQAAEwAAAAAAAAAAAAAAAAAA&#10;AAAAW0NvbnRlbnRfVHlwZXNdLnhtbFBLAQItABQABgAIAAAAIQA4/SH/1gAAAJQBAAALAAAAAAAA&#10;AAAAAAAAAC8BAABfcmVscy8ucmVsc1BLAQItABQABgAIAAAAIQDKiAy6xQEAAHIDAAAOAAAAAAAA&#10;AAAAAAAAAC4CAABkcnMvZTJvRG9jLnhtbFBLAQItABQABgAIAAAAIQDktg9x4QAAAAwBAAAPAAAA&#10;AAAAAAAAAAAAAB8EAABkcnMvZG93bnJldi54bWxQSwUGAAAAAAQABADzAAAALQUAAAAA&#10;" o:allowincell="f" strokeweight=".25pt">
                <w10:wrap type="square"/>
              </v:line>
            </w:pict>
          </mc:Fallback>
        </mc:AlternateContent>
      </w:r>
      <w:r>
        <w:rPr>
          <w:rStyle w:val="Refdenotaalpie"/>
          <w:rFonts w:ascii="Bookman Old Style" w:hAnsi="Bookman Old Style"/>
          <w:sz w:val="28"/>
          <w:szCs w:val="28"/>
        </w:rPr>
        <w:footnoteReference w:id="42"/>
      </w:r>
      <w:r>
        <w:rPr>
          <w:noProof/>
        </w:rPr>
        <mc:AlternateContent>
          <mc:Choice Requires="wps">
            <w:drawing>
              <wp:anchor distT="0" distB="0" distL="4294967293" distR="4294967293" simplePos="0" relativeHeight="251659264" behindDoc="0" locked="0" layoutInCell="0" allowOverlap="1" wp14:anchorId="0757583D" wp14:editId="3CE0C7EB">
                <wp:simplePos x="0" y="0"/>
                <wp:positionH relativeFrom="column">
                  <wp:posOffset>7219314</wp:posOffset>
                </wp:positionH>
                <wp:positionV relativeFrom="paragraph">
                  <wp:posOffset>-367665</wp:posOffset>
                </wp:positionV>
                <wp:extent cx="0" cy="448945"/>
                <wp:effectExtent l="0" t="0" r="38100" b="27305"/>
                <wp:wrapSquare wrapText="bothSides"/>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821D1A" id="Conector recto 11" o:spid="_x0000_s1026" style="position:absolute;z-index:251659264;visibility:visible;mso-wrap-style:square;mso-width-percent:0;mso-height-percent:0;mso-wrap-distance-left:-8e-5mm;mso-wrap-distance-top:0;mso-wrap-distance-right:-8e-5mm;mso-wrap-distance-bottom:0;mso-position-horizontal:absolute;mso-position-horizontal-relative:text;mso-position-vertical:absolute;mso-position-vertical-relative:text;mso-width-percent:0;mso-height-percent:0;mso-width-relative:page;mso-height-relative:page" from="568.45pt,-28.95pt" to="568.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GzxgEAAHQDAAAOAAAAZHJzL2Uyb0RvYy54bWysU01v2zAMvQ/YfxB0X5x06dYacXpI1126&#10;LUDbH8BIsi1MFgVKiZN/P0r56LrdhuWgSOTj0yOfvLjbD07sDEWLvpGzyVQK4xVq67tGvjw/fLiR&#10;IibwGhx608iDifJu+f7dYgy1ucIenTYkmMTHegyN7FMKdVVF1ZsB4gSD8ZxskQZIfKSu0gQjsw+u&#10;uppOP1Ujkg6EysTI0ftjUi4Lf9salX60bTRJuEaytlRWKusmr9VyAXVHEHqrTjLgH1QMYD1feqG6&#10;hwRiS/YvqsEqwohtmigcKmxbq0zpgbuZTf/o5qmHYEovPJwYLmOK/49Wfd+tSVjN3s2k8DCwRyt2&#10;SiUkQflPcIKnNIZYM3jl15T7VHv/FB5R/YzC46oH35mi9vkQmKFUVG9K8iEGvmszfkPNGNgmLCPb&#10;tzRkSh6G2BdnDhdnzD4JdQwqjs7nN7fz6yyngvpcFyimrwYHkTeNdNbnmUENu8eYjtAzJIc9Pljn&#10;iu/Oi7GRH2efr0tBRGd1TmZYpG6zciR2kF9O+Z3ufQMj3HpdyHoD+stpn8C64551Os9yz+0fB7lB&#10;fVhT1pbjbG1p6PQM89v5/VxQrx/L8hcAAAD//wMAUEsDBBQABgAIAAAAIQCe6nn/4AAAAAwBAAAP&#10;AAAAZHJzL2Rvd25yZXYueG1sTI9BT8MwDIXvSPyHyEjctnRDlFGaTrSCww5MYps0uGWNaSsapzTp&#10;Vv49njjA7T376flzuhxtK47Y+8aRgtk0AoFUOtNQpWC3fZ4sQPigyejWESr4Rg/L7PIi1YlxJ3rF&#10;4yZUgkvIJ1pBHUKXSOnLGq32U9ch8e7D9VYHtn0lTa9PXG5bOY+iWFrdEF+odYdFjeXnZrAKgt+/&#10;rcOw+srj/KXAbf5ePMmVUtdX4+MDiIBj+AvDGZ/RIWOmgxvIeNGyn93E95xVMLm9Y3GO/I4OrOYL&#10;kFkq/z+R/QAAAP//AwBQSwECLQAUAAYACAAAACEAtoM4kv4AAADhAQAAEwAAAAAAAAAAAAAAAAAA&#10;AAAAW0NvbnRlbnRfVHlwZXNdLnhtbFBLAQItABQABgAIAAAAIQA4/SH/1gAAAJQBAAALAAAAAAAA&#10;AAAAAAAAAC8BAABfcmVscy8ucmVsc1BLAQItABQABgAIAAAAIQAH2XGzxgEAAHQDAAAOAAAAAAAA&#10;AAAAAAAAAC4CAABkcnMvZTJvRG9jLnhtbFBLAQItABQABgAIAAAAIQCe6nn/4AAAAAwBAAAPAAAA&#10;AAAAAAAAAAAAACAEAABkcnMvZG93bnJldi54bWxQSwUGAAAAAAQABADzAAAALQUAAAAA&#10;" o:allowincell="f" strokeweight=".25pt">
                <w10:wrap type="square"/>
              </v:line>
            </w:pict>
          </mc:Fallback>
        </mc:AlternateContent>
      </w:r>
      <w:r>
        <w:rPr>
          <w:noProof/>
        </w:rPr>
        <mc:AlternateContent>
          <mc:Choice Requires="wps">
            <w:drawing>
              <wp:anchor distT="0" distB="0" distL="4294967293" distR="4294967293" simplePos="0" relativeHeight="251660288" behindDoc="0" locked="0" layoutInCell="0" allowOverlap="1" wp14:anchorId="16625F36" wp14:editId="56EB501D">
                <wp:simplePos x="0" y="0"/>
                <wp:positionH relativeFrom="column">
                  <wp:posOffset>7219314</wp:posOffset>
                </wp:positionH>
                <wp:positionV relativeFrom="paragraph">
                  <wp:posOffset>342900</wp:posOffset>
                </wp:positionV>
                <wp:extent cx="0" cy="890270"/>
                <wp:effectExtent l="0" t="0" r="38100" b="24130"/>
                <wp:wrapSquare wrapText="bothSides"/>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3EB45C" id="Conector recto 10" o:spid="_x0000_s1026" style="position:absolute;z-index:251660288;visibility:visible;mso-wrap-style:square;mso-width-percent:0;mso-height-percent:0;mso-wrap-distance-left:-8e-5mm;mso-wrap-distance-top:0;mso-wrap-distance-right:-8e-5mm;mso-wrap-distance-bottom:0;mso-position-horizontal:absolute;mso-position-horizontal-relative:text;mso-position-vertical:absolute;mso-position-vertical-relative:text;mso-width-percent:0;mso-height-percent:0;mso-width-relative:page;mso-height-relative:page" from="568.45pt,27pt" to="568.4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AzxQEAAHQDAAAOAAAAZHJzL2Uyb0RvYy54bWysU02P0zAQvSPxHyzfadIi2CVquocuy2WB&#10;Srv8gKntJBaOxxq7TfvvGbsfu8AN0YNrz8fzvPec5d1hdGJvKFr0rZzPaimMV6it71v54/nh3a0U&#10;MYHX4NCbVh5NlHert2+WU2jMAgd02pBgEB+bKbRySCk0VRXVYEaIMwzGc7JDGiHxkfpKE0yMPrpq&#10;UdcfqwlJB0JlYuTo/SkpVwW/64xK37sumiRcK3m2VFYq6zav1WoJTU8QBqvOY8A/TDGC9XzpFeoe&#10;Eogd2b+gRqsII3ZppnCssOusMoUDs5nXf7B5GiCYwoXFieEqU/x/sOrbfkPCavaO5fEwskdrdkol&#10;JEH5T3CCVZpCbLh47TeUeaqDfwqPqH5G4XE9gO9Nmfb5GBhhnjuq31ryIQa+azt9Rc01sEtYJDt0&#10;NGZIFkMcijPHqzPmkIQ6BRVHbz/Vi5syTgXNpS9QTF8MjiJvWumsz5pBA/vHmPIc0FxKctjjg3Wu&#10;+O68mFr5fn7zoTREdFbnZC6L1G/XjsQe8sspv0KKM6/LCHdeF7DBgP583iew7rTny50/a5Hpn4Tc&#10;oj5u6KIRW1umPD/D/HZen0v3y8ey+gUAAP//AwBQSwMEFAAGAAgAAAAhAOS2D3HhAAAADAEAAA8A&#10;AABkcnMvZG93bnJldi54bWxMj0FPwzAMhe9I/IfISNxYujGqrTSdaAWHHZjENgm4ZY1pKxqnNOlW&#10;/j2eOMDNz356/l66Gm0rjtj7xpGC6SQCgVQ601ClYL97ulmA8EGT0a0jVPCNHlbZ5UWqE+NO9ILH&#10;bagEh5BPtII6hC6R0pc1Wu0nrkPi24frrQ4s+0qaXp843LZyFkWxtLoh/lDrDosay8/tYBUE//q2&#10;CcP6K4/z5wJ3+XvxKNdKXV+ND/cgAo7hzwxnfEaHjJkObiDjRct6ehsv2avgbs6lzo7fzYGn5XwG&#10;Mkvl/xLZDwAAAP//AwBQSwECLQAUAAYACAAAACEAtoM4kv4AAADhAQAAEwAAAAAAAAAAAAAAAAAA&#10;AAAAW0NvbnRlbnRfVHlwZXNdLnhtbFBLAQItABQABgAIAAAAIQA4/SH/1gAAAJQBAAALAAAAAAAA&#10;AAAAAAAAAC8BAABfcmVscy8ucmVsc1BLAQItABQABgAIAAAAIQBAHpAzxQEAAHQDAAAOAAAAAAAA&#10;AAAAAAAAAC4CAABkcnMvZTJvRG9jLnhtbFBLAQItABQABgAIAAAAIQDktg9x4QAAAAwBAAAPAAAA&#10;AAAAAAAAAAAAAB8EAABkcnMvZG93bnJldi54bWxQSwUGAAAAAAQABADzAAAALQUAAAAA&#10;" o:allowincell="f" strokeweight=".25pt">
                <w10:wrap type="square"/>
              </v:line>
            </w:pict>
          </mc:Fallback>
        </mc:AlternateContent>
      </w:r>
      <w:r w:rsidRPr="003C573D">
        <w:rPr>
          <w:rFonts w:ascii="Bookman Old Style" w:hAnsi="Bookman Old Style"/>
          <w:sz w:val="28"/>
          <w:szCs w:val="28"/>
        </w:rPr>
        <w:t>.</w:t>
      </w:r>
    </w:p>
    <w:p w14:paraId="6D84EAEE" w14:textId="77777777" w:rsidR="004B5ECB" w:rsidRDefault="004B5ECB" w:rsidP="004B5ECB">
      <w:pPr>
        <w:widowControl w:val="0"/>
        <w:spacing w:line="360" w:lineRule="auto"/>
        <w:ind w:firstLine="708"/>
        <w:jc w:val="both"/>
        <w:rPr>
          <w:rFonts w:ascii="Bookman Old Style" w:hAnsi="Bookman Old Style"/>
          <w:sz w:val="28"/>
          <w:szCs w:val="28"/>
        </w:rPr>
      </w:pPr>
    </w:p>
    <w:p w14:paraId="1F35A40C" w14:textId="77777777" w:rsidR="004B5ECB" w:rsidRPr="00473573" w:rsidRDefault="004B5ECB" w:rsidP="004B5ECB">
      <w:pPr>
        <w:widowControl w:val="0"/>
        <w:spacing w:line="360" w:lineRule="auto"/>
        <w:ind w:left="-284" w:firstLine="709"/>
        <w:jc w:val="both"/>
        <w:rPr>
          <w:rFonts w:ascii="Bookman Old Style" w:hAnsi="Bookman Old Style"/>
          <w:sz w:val="28"/>
          <w:szCs w:val="28"/>
        </w:rPr>
      </w:pPr>
      <w:r w:rsidRPr="003C573D">
        <w:rPr>
          <w:rFonts w:ascii="Bookman Old Style" w:hAnsi="Bookman Old Style"/>
          <w:sz w:val="28"/>
          <w:szCs w:val="28"/>
        </w:rPr>
        <w:t>Esta realidad indiscutible y apremiante demuestra que la mora judicial es un problema estructural (no coyuntural), que amerita soluciones basilares basadas en políticas públicas</w:t>
      </w:r>
      <w:r w:rsidRPr="00F62D56">
        <w:rPr>
          <w:rFonts w:ascii="Bookman Old Style" w:hAnsi="Bookman Old Style"/>
          <w:sz w:val="28"/>
          <w:szCs w:val="28"/>
        </w:rPr>
        <w:t xml:space="preserve"> </w:t>
      </w:r>
      <w:r w:rsidRPr="003C573D">
        <w:rPr>
          <w:rFonts w:ascii="Bookman Old Style" w:hAnsi="Bookman Old Style"/>
          <w:sz w:val="28"/>
          <w:szCs w:val="28"/>
        </w:rPr>
        <w:t>como la</w:t>
      </w:r>
      <w:r>
        <w:rPr>
          <w:rFonts w:ascii="Bookman Old Style" w:hAnsi="Bookman Old Style"/>
          <w:sz w:val="28"/>
          <w:szCs w:val="28"/>
        </w:rPr>
        <w:t>s</w:t>
      </w:r>
      <w:r w:rsidRPr="003C573D">
        <w:rPr>
          <w:rFonts w:ascii="Bookman Old Style" w:hAnsi="Bookman Old Style"/>
          <w:sz w:val="28"/>
          <w:szCs w:val="28"/>
        </w:rPr>
        <w:t xml:space="preserve"> incorporada</w:t>
      </w:r>
      <w:r>
        <w:rPr>
          <w:rFonts w:ascii="Bookman Old Style" w:hAnsi="Bookman Old Style"/>
          <w:sz w:val="28"/>
          <w:szCs w:val="28"/>
        </w:rPr>
        <w:t xml:space="preserve">s </w:t>
      </w:r>
      <w:r w:rsidRPr="003C573D">
        <w:rPr>
          <w:rFonts w:ascii="Bookman Old Style" w:hAnsi="Bookman Old Style"/>
          <w:sz w:val="28"/>
          <w:szCs w:val="28"/>
        </w:rPr>
        <w:t xml:space="preserve">en el Código General del Proceso, </w:t>
      </w:r>
      <w:r>
        <w:rPr>
          <w:rFonts w:ascii="Bookman Old Style" w:hAnsi="Bookman Old Style"/>
          <w:sz w:val="28"/>
          <w:szCs w:val="28"/>
        </w:rPr>
        <w:t xml:space="preserve">con el propósito de, entre otros móviles, </w:t>
      </w:r>
      <w:r w:rsidRPr="00473573">
        <w:rPr>
          <w:rFonts w:ascii="Bookman Old Style" w:hAnsi="Bookman Old Style"/>
          <w:sz w:val="28"/>
          <w:szCs w:val="28"/>
        </w:rPr>
        <w:t xml:space="preserve">sortear </w:t>
      </w:r>
      <w:r>
        <w:rPr>
          <w:rFonts w:ascii="Bookman Old Style" w:hAnsi="Bookman Old Style"/>
          <w:sz w:val="28"/>
          <w:szCs w:val="28"/>
        </w:rPr>
        <w:t xml:space="preserve">el problema de </w:t>
      </w:r>
      <w:r w:rsidRPr="00473573">
        <w:rPr>
          <w:rFonts w:ascii="Bookman Old Style" w:hAnsi="Bookman Old Style"/>
          <w:sz w:val="28"/>
          <w:szCs w:val="28"/>
        </w:rPr>
        <w:t>congestión judicial y, de esta forma, menguar la sensación de injusticia ocasionada por la demora de la rama judicial en la resolución de las controversias sometidas a su conocimiento.</w:t>
      </w:r>
    </w:p>
    <w:p w14:paraId="67E3364D" w14:textId="77777777" w:rsidR="004B5ECB" w:rsidRPr="00473573" w:rsidRDefault="004B5ECB" w:rsidP="004B5ECB">
      <w:pPr>
        <w:widowControl w:val="0"/>
        <w:spacing w:line="360" w:lineRule="auto"/>
        <w:ind w:firstLine="708"/>
        <w:jc w:val="both"/>
        <w:rPr>
          <w:rFonts w:ascii="Bookman Old Style" w:hAnsi="Bookman Old Style"/>
          <w:sz w:val="28"/>
          <w:szCs w:val="28"/>
        </w:rPr>
      </w:pPr>
    </w:p>
    <w:p w14:paraId="12A70EED" w14:textId="77777777" w:rsidR="004B5ECB" w:rsidRPr="00473573" w:rsidRDefault="004B5ECB" w:rsidP="004B5ECB">
      <w:pPr>
        <w:widowControl w:val="0"/>
        <w:spacing w:line="360" w:lineRule="auto"/>
        <w:ind w:firstLine="708"/>
        <w:jc w:val="both"/>
        <w:rPr>
          <w:rFonts w:ascii="Bookman Old Style" w:hAnsi="Bookman Old Style" w:cs="Arial"/>
          <w:i/>
          <w:sz w:val="24"/>
          <w:szCs w:val="24"/>
        </w:rPr>
      </w:pPr>
      <w:r w:rsidRPr="00473573">
        <w:rPr>
          <w:rFonts w:ascii="Bookman Old Style" w:hAnsi="Bookman Old Style"/>
          <w:sz w:val="28"/>
          <w:szCs w:val="28"/>
        </w:rPr>
        <w:lastRenderedPageBreak/>
        <w:t>Dentro de estos instrumentos se encuentra el señalamiento de términos de duración para</w:t>
      </w:r>
      <w:r>
        <w:rPr>
          <w:rFonts w:ascii="Bookman Old Style" w:hAnsi="Bookman Old Style"/>
          <w:sz w:val="28"/>
          <w:szCs w:val="28"/>
        </w:rPr>
        <w:t xml:space="preserve"> expedir </w:t>
      </w:r>
      <w:r w:rsidRPr="00473573">
        <w:rPr>
          <w:rFonts w:ascii="Bookman Old Style" w:hAnsi="Bookman Old Style"/>
          <w:sz w:val="28"/>
          <w:szCs w:val="28"/>
        </w:rPr>
        <w:t>la sentencia de única, primera o segunda instancia, con consecuencias precisas en los casos en que sean desatendidos por la corporación judicial</w:t>
      </w:r>
      <w:r>
        <w:rPr>
          <w:rFonts w:ascii="Bookman Old Style" w:hAnsi="Bookman Old Style"/>
          <w:sz w:val="28"/>
          <w:szCs w:val="28"/>
        </w:rPr>
        <w:t>, plasmadas en el artículo 121 del Código General del Proceso.</w:t>
      </w:r>
    </w:p>
    <w:p w14:paraId="2DF4639B" w14:textId="77777777" w:rsidR="004B5ECB" w:rsidRDefault="004B5ECB" w:rsidP="004B5ECB">
      <w:pPr>
        <w:widowControl w:val="0"/>
        <w:spacing w:line="360" w:lineRule="auto"/>
        <w:ind w:firstLine="708"/>
        <w:jc w:val="both"/>
        <w:rPr>
          <w:rFonts w:ascii="Bookman Old Style" w:hAnsi="Bookman Old Style"/>
          <w:sz w:val="28"/>
          <w:szCs w:val="28"/>
        </w:rPr>
      </w:pPr>
    </w:p>
    <w:p w14:paraId="139DEC0E" w14:textId="77777777" w:rsidR="004B5ECB" w:rsidRDefault="004B5ECB" w:rsidP="004B5ECB">
      <w:pPr>
        <w:widowControl w:val="0"/>
        <w:spacing w:line="360" w:lineRule="auto"/>
        <w:ind w:firstLine="708"/>
        <w:jc w:val="both"/>
        <w:rPr>
          <w:rFonts w:ascii="Bookman Old Style" w:hAnsi="Bookman Old Style"/>
          <w:sz w:val="28"/>
          <w:szCs w:val="28"/>
        </w:rPr>
      </w:pPr>
      <w:r>
        <w:rPr>
          <w:noProof/>
        </w:rPr>
        <mc:AlternateContent>
          <mc:Choice Requires="wps">
            <w:drawing>
              <wp:anchor distT="0" distB="0" distL="4294967293" distR="4294967293" simplePos="0" relativeHeight="251661312" behindDoc="0" locked="0" layoutInCell="0" allowOverlap="1" wp14:anchorId="1C6D5CE7" wp14:editId="2A91C0C4">
                <wp:simplePos x="0" y="0"/>
                <wp:positionH relativeFrom="column">
                  <wp:posOffset>7219314</wp:posOffset>
                </wp:positionH>
                <wp:positionV relativeFrom="paragraph">
                  <wp:posOffset>-830580</wp:posOffset>
                </wp:positionV>
                <wp:extent cx="0" cy="259715"/>
                <wp:effectExtent l="0" t="0" r="38100" b="26035"/>
                <wp:wrapSquare wrapText="bothSides"/>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E8E880" id="Conector recto 9" o:spid="_x0000_s1026" style="position:absolute;z-index:251661312;visibility:visible;mso-wrap-style:square;mso-width-percent:0;mso-height-percent:0;mso-wrap-distance-left:-8e-5mm;mso-wrap-distance-top:0;mso-wrap-distance-right:-8e-5mm;mso-wrap-distance-bottom:0;mso-position-horizontal:absolute;mso-position-horizontal-relative:text;mso-position-vertical:absolute;mso-position-vertical-relative:text;mso-width-percent:0;mso-height-percent:0;mso-width-relative:page;mso-height-relative:page" from="568.45pt,-65.4pt" to="568.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lLwwEAAHIDAAAOAAAAZHJzL2Uyb0RvYy54bWysU82O0zAQviPxDpbvNE1RWRo13UOX5bJA&#10;pV0eYGo7iYXtscZuk749tvsDCzdEDs54fr6Z+Wa8vp+sYUdFQaNreT2bc6acQKld3/LvL4/vPnIW&#10;IjgJBp1q+UkFfr95+2Y9+kYtcEAjFbEE4kIz+pYPMfqmqoIYlIUwQ69cMnZIFmK6Ul9JgjGhW1Mt&#10;5vMP1YgkPaFQISTtw9nINwW/65SI37ouqMhMy1NtsZxUzn0+q80amp7AD1pcyoB/qMKCdinpDeoB&#10;IrAD6b+grBaEAbs4E2gr7DotVOkhdVPP/+jmeQCvSi+JnOBvNIX/Byu+HnfEtGz5ijMHNo1omwYl&#10;IhKj/GOrzNHoQ5Nct25HuUsxuWf/hOJHYA63A7helVpfTj4B1DmiehWSL8GnTPvxC8rkA4eIhbCp&#10;I5shExVsKnM53eaipsjEWSmSdrFc3dXLAg7NNc5TiJ8VWpaFlhvtMmPQwPEpxFwHNFeXrHb4qI0p&#10;UzeOjS1/X98tS0BAo2U2ZrdA/X5riB0h7035LnlfuREenCxggwL56SJH0OYsp+TGXbjI7Z+J3KM8&#10;7ejKURpsqfKyhHlzfr+X6F9PZfMTAAD//wMAUEsDBBQABgAIAAAAIQAN/a+54QAAAA4BAAAPAAAA&#10;ZHJzL2Rvd25yZXYueG1sTI9BT4NAEIXvJv6HzZh4axdsQgqyNEL00IMmtibqbcuOQGRnkV1a/PdO&#10;40GP782XN+/lm9n24oij7xwpiJcRCKTamY4aBS/7h8UahA+ajO4doYJv9LApLi9ynRl3omc87kIj&#10;OIR8phW0IQyZlL5u0Wq/dAMS3z7caHVgOTbSjPrE4baXN1GUSKs74g+tHrBqsf7cTVZB8K9vT2Ha&#10;fpVJ+Vjhvnyv7uVWqeur+e4WRMA5/MFwrs/VoeBOBzeR8aJnHa+SlFkFi3gV8Yoz8+sd2FunKcgi&#10;l/9nFD8AAAD//wMAUEsBAi0AFAAGAAgAAAAhALaDOJL+AAAA4QEAABMAAAAAAAAAAAAAAAAAAAAA&#10;AFtDb250ZW50X1R5cGVzXS54bWxQSwECLQAUAAYACAAAACEAOP0h/9YAAACUAQAACwAAAAAAAAAA&#10;AAAAAAAvAQAAX3JlbHMvLnJlbHNQSwECLQAUAAYACAAAACEAJXwZS8MBAAByAwAADgAAAAAAAAAA&#10;AAAAAAAuAgAAZHJzL2Uyb0RvYy54bWxQSwECLQAUAAYACAAAACEADf2vueEAAAAOAQAADwAAAAAA&#10;AAAAAAAAAAAdBAAAZHJzL2Rvd25yZXYueG1sUEsFBgAAAAAEAAQA8wAAACsFAAAAAA==&#10;" o:allowincell="f" strokeweight=".25pt">
                <w10:wrap type="square"/>
              </v:line>
            </w:pict>
          </mc:Fallback>
        </mc:AlternateContent>
      </w:r>
      <w:r>
        <w:rPr>
          <w:rFonts w:ascii="Bookman Old Style" w:hAnsi="Bookman Old Style"/>
          <w:sz w:val="28"/>
          <w:szCs w:val="28"/>
        </w:rPr>
        <w:t xml:space="preserve">Esta </w:t>
      </w:r>
      <w:r w:rsidRPr="003C573D">
        <w:rPr>
          <w:rFonts w:ascii="Bookman Old Style" w:hAnsi="Bookman Old Style"/>
          <w:sz w:val="28"/>
          <w:szCs w:val="28"/>
        </w:rPr>
        <w:t>norma</w:t>
      </w:r>
      <w:r>
        <w:rPr>
          <w:rFonts w:ascii="Bookman Old Style" w:hAnsi="Bookman Old Style"/>
          <w:sz w:val="28"/>
          <w:szCs w:val="28"/>
        </w:rPr>
        <w:t xml:space="preserve"> </w:t>
      </w:r>
      <w:r w:rsidRPr="003C573D">
        <w:rPr>
          <w:rFonts w:ascii="Bookman Old Style" w:hAnsi="Bookman Old Style"/>
          <w:sz w:val="28"/>
          <w:szCs w:val="28"/>
        </w:rPr>
        <w:t xml:space="preserve">incorpora una política pública </w:t>
      </w:r>
      <w:r>
        <w:rPr>
          <w:rFonts w:ascii="Bookman Old Style" w:hAnsi="Bookman Old Style"/>
          <w:sz w:val="28"/>
          <w:szCs w:val="28"/>
        </w:rPr>
        <w:t>para la eficacia de</w:t>
      </w:r>
      <w:r w:rsidRPr="003C573D">
        <w:rPr>
          <w:rFonts w:ascii="Bookman Old Style" w:hAnsi="Bookman Old Style"/>
          <w:sz w:val="28"/>
          <w:szCs w:val="28"/>
        </w:rPr>
        <w:t>l derecho sustancial a «</w:t>
      </w:r>
      <w:r w:rsidRPr="003C573D">
        <w:rPr>
          <w:rFonts w:ascii="Bookman Old Style" w:hAnsi="Bookman Old Style"/>
          <w:i/>
          <w:iCs/>
          <w:sz w:val="28"/>
          <w:szCs w:val="28"/>
        </w:rPr>
        <w:t>un debido proceso de duración razonable</w:t>
      </w:r>
      <w:r w:rsidRPr="003C573D">
        <w:rPr>
          <w:rFonts w:ascii="Bookman Old Style" w:hAnsi="Bookman Old Style"/>
          <w:sz w:val="28"/>
          <w:szCs w:val="28"/>
        </w:rPr>
        <w:t>»</w:t>
      </w:r>
      <w:r>
        <w:rPr>
          <w:rFonts w:ascii="Bookman Old Style" w:hAnsi="Bookman Old Style"/>
          <w:sz w:val="28"/>
          <w:szCs w:val="28"/>
        </w:rPr>
        <w:t xml:space="preserve"> y </w:t>
      </w:r>
      <w:r w:rsidRPr="003C573D">
        <w:rPr>
          <w:rFonts w:ascii="Bookman Old Style" w:hAnsi="Bookman Old Style"/>
          <w:sz w:val="28"/>
          <w:szCs w:val="28"/>
        </w:rPr>
        <w:t>«</w:t>
      </w:r>
      <w:r w:rsidRPr="003C573D">
        <w:rPr>
          <w:rFonts w:ascii="Bookman Old Style" w:hAnsi="Bookman Old Style"/>
          <w:i/>
          <w:iCs/>
          <w:sz w:val="28"/>
          <w:szCs w:val="28"/>
        </w:rPr>
        <w:t>sin dilaciones injustificadas</w:t>
      </w:r>
      <w:r w:rsidRPr="003C573D">
        <w:rPr>
          <w:rFonts w:ascii="Bookman Old Style" w:hAnsi="Bookman Old Style"/>
          <w:sz w:val="28"/>
          <w:szCs w:val="28"/>
        </w:rPr>
        <w:t xml:space="preserve">» (arts. 2º del CGP y 29 de la CP), </w:t>
      </w:r>
      <w:r>
        <w:rPr>
          <w:rFonts w:ascii="Bookman Old Style" w:hAnsi="Bookman Old Style"/>
          <w:sz w:val="28"/>
          <w:szCs w:val="28"/>
        </w:rPr>
        <w:t xml:space="preserve">por medio de las siguientes </w:t>
      </w:r>
      <w:r w:rsidRPr="003C573D">
        <w:rPr>
          <w:rFonts w:ascii="Bookman Old Style" w:hAnsi="Bookman Old Style"/>
          <w:sz w:val="28"/>
          <w:szCs w:val="28"/>
        </w:rPr>
        <w:t>medidas</w:t>
      </w:r>
      <w:r>
        <w:rPr>
          <w:rFonts w:ascii="Bookman Old Style" w:hAnsi="Bookman Old Style"/>
          <w:sz w:val="28"/>
          <w:szCs w:val="28"/>
        </w:rPr>
        <w:t>, en su versión original</w:t>
      </w:r>
      <w:r w:rsidRPr="003C573D">
        <w:rPr>
          <w:rFonts w:ascii="Bookman Old Style" w:hAnsi="Bookman Old Style"/>
          <w:sz w:val="28"/>
          <w:szCs w:val="28"/>
        </w:rPr>
        <w:t xml:space="preserve">: </w:t>
      </w:r>
    </w:p>
    <w:p w14:paraId="2C759826" w14:textId="77777777" w:rsidR="004B5ECB" w:rsidRDefault="004B5ECB" w:rsidP="004B5ECB">
      <w:pPr>
        <w:widowControl w:val="0"/>
        <w:spacing w:line="360" w:lineRule="auto"/>
        <w:ind w:firstLine="708"/>
        <w:jc w:val="both"/>
        <w:rPr>
          <w:rFonts w:ascii="Bookman Old Style" w:hAnsi="Bookman Old Style"/>
          <w:sz w:val="28"/>
          <w:szCs w:val="28"/>
        </w:rPr>
      </w:pPr>
    </w:p>
    <w:p w14:paraId="365AB316" w14:textId="77777777" w:rsidR="004B5ECB" w:rsidRDefault="004B5ECB" w:rsidP="004B5ECB">
      <w:pPr>
        <w:widowControl w:val="0"/>
        <w:spacing w:line="360" w:lineRule="auto"/>
        <w:ind w:firstLine="708"/>
        <w:jc w:val="both"/>
        <w:rPr>
          <w:rFonts w:ascii="Bookman Old Style" w:hAnsi="Bookman Old Style"/>
          <w:sz w:val="28"/>
          <w:szCs w:val="28"/>
        </w:rPr>
      </w:pPr>
      <w:r>
        <w:rPr>
          <w:rFonts w:ascii="Bookman Old Style" w:hAnsi="Bookman Old Style"/>
          <w:sz w:val="28"/>
          <w:szCs w:val="28"/>
        </w:rPr>
        <w:t xml:space="preserve">(I) fijar un lapso máximo dentro del cual deben proferirse las decisiones de única, primera o segunda instancia; </w:t>
      </w:r>
    </w:p>
    <w:p w14:paraId="50951F32" w14:textId="77777777" w:rsidR="004B5ECB" w:rsidRDefault="004B5ECB" w:rsidP="004B5ECB">
      <w:pPr>
        <w:widowControl w:val="0"/>
        <w:spacing w:line="360" w:lineRule="auto"/>
        <w:ind w:firstLine="708"/>
        <w:jc w:val="both"/>
        <w:rPr>
          <w:rFonts w:ascii="Bookman Old Style" w:hAnsi="Bookman Old Style"/>
          <w:sz w:val="28"/>
          <w:szCs w:val="28"/>
        </w:rPr>
      </w:pPr>
    </w:p>
    <w:p w14:paraId="03DA9098" w14:textId="77777777" w:rsidR="004B5ECB" w:rsidRDefault="004B5ECB" w:rsidP="004B5ECB">
      <w:pPr>
        <w:widowControl w:val="0"/>
        <w:spacing w:line="360" w:lineRule="auto"/>
        <w:ind w:firstLine="708"/>
        <w:jc w:val="both"/>
        <w:rPr>
          <w:rFonts w:ascii="Bookman Old Style" w:hAnsi="Bookman Old Style"/>
          <w:sz w:val="28"/>
          <w:szCs w:val="28"/>
        </w:rPr>
      </w:pPr>
      <w:r>
        <w:rPr>
          <w:rFonts w:ascii="Bookman Old Style" w:hAnsi="Bookman Old Style"/>
          <w:sz w:val="28"/>
          <w:szCs w:val="28"/>
        </w:rPr>
        <w:t xml:space="preserve">(II) consagrar </w:t>
      </w:r>
      <w:r w:rsidRPr="003C573D">
        <w:rPr>
          <w:rFonts w:ascii="Bookman Old Style" w:hAnsi="Bookman Old Style"/>
          <w:sz w:val="28"/>
          <w:szCs w:val="28"/>
        </w:rPr>
        <w:t>la «</w:t>
      </w:r>
      <w:r w:rsidRPr="003C573D">
        <w:rPr>
          <w:rFonts w:ascii="Bookman Old Style" w:hAnsi="Bookman Old Style"/>
          <w:i/>
          <w:iCs/>
          <w:sz w:val="28"/>
          <w:szCs w:val="28"/>
        </w:rPr>
        <w:t>nulidad de pleno derecho</w:t>
      </w:r>
      <w:r w:rsidRPr="003C573D">
        <w:rPr>
          <w:rFonts w:ascii="Bookman Old Style" w:hAnsi="Bookman Old Style"/>
          <w:sz w:val="28"/>
          <w:szCs w:val="28"/>
        </w:rPr>
        <w:t xml:space="preserve">» de las actuaciones surtidas luego del fenecimiento de ese </w:t>
      </w:r>
      <w:r>
        <w:rPr>
          <w:rFonts w:ascii="Bookman Old Style" w:hAnsi="Bookman Old Style"/>
          <w:sz w:val="28"/>
          <w:szCs w:val="28"/>
        </w:rPr>
        <w:t>período</w:t>
      </w:r>
      <w:r w:rsidRPr="003C573D">
        <w:rPr>
          <w:rFonts w:ascii="Bookman Old Style" w:hAnsi="Bookman Old Style"/>
          <w:sz w:val="28"/>
          <w:szCs w:val="28"/>
        </w:rPr>
        <w:t xml:space="preserve">; </w:t>
      </w:r>
    </w:p>
    <w:p w14:paraId="72E9B902" w14:textId="77777777" w:rsidR="004B5ECB" w:rsidRDefault="004B5ECB" w:rsidP="004B5ECB">
      <w:pPr>
        <w:widowControl w:val="0"/>
        <w:spacing w:line="360" w:lineRule="auto"/>
        <w:ind w:firstLine="708"/>
        <w:jc w:val="both"/>
        <w:rPr>
          <w:rFonts w:ascii="Bookman Old Style" w:hAnsi="Bookman Old Style"/>
          <w:sz w:val="28"/>
          <w:szCs w:val="28"/>
        </w:rPr>
      </w:pPr>
    </w:p>
    <w:p w14:paraId="0B6B7EDC" w14:textId="77777777" w:rsidR="004B5ECB" w:rsidRDefault="004B5ECB" w:rsidP="004B5ECB">
      <w:pPr>
        <w:widowControl w:val="0"/>
        <w:spacing w:line="360" w:lineRule="auto"/>
        <w:ind w:firstLine="708"/>
        <w:jc w:val="both"/>
        <w:rPr>
          <w:rFonts w:ascii="Bookman Old Style" w:hAnsi="Bookman Old Style"/>
          <w:sz w:val="28"/>
          <w:szCs w:val="28"/>
        </w:rPr>
      </w:pPr>
      <w:r>
        <w:rPr>
          <w:rFonts w:ascii="Bookman Old Style" w:hAnsi="Bookman Old Style"/>
          <w:sz w:val="28"/>
          <w:szCs w:val="28"/>
        </w:rPr>
        <w:t xml:space="preserve">(III) establecer la </w:t>
      </w:r>
      <w:r w:rsidRPr="003C573D">
        <w:rPr>
          <w:rFonts w:ascii="Bookman Old Style" w:hAnsi="Bookman Old Style"/>
          <w:sz w:val="28"/>
          <w:szCs w:val="28"/>
        </w:rPr>
        <w:t xml:space="preserve">pérdida automática de competencia del funcionario que venía conociendo el asunto junto con la consecuente remisión del expediente al despacho judicial que sigue en turno; y </w:t>
      </w:r>
    </w:p>
    <w:p w14:paraId="35EE7E96" w14:textId="77777777" w:rsidR="004B5ECB" w:rsidRDefault="004B5ECB" w:rsidP="004B5ECB">
      <w:pPr>
        <w:widowControl w:val="0"/>
        <w:spacing w:line="360" w:lineRule="auto"/>
        <w:ind w:firstLine="708"/>
        <w:jc w:val="both"/>
        <w:rPr>
          <w:rFonts w:ascii="Bookman Old Style" w:hAnsi="Bookman Old Style"/>
          <w:sz w:val="28"/>
          <w:szCs w:val="28"/>
        </w:rPr>
      </w:pPr>
    </w:p>
    <w:p w14:paraId="197B10F8" w14:textId="77777777" w:rsidR="004B5ECB" w:rsidRPr="003C573D" w:rsidRDefault="004B5ECB" w:rsidP="004B5ECB">
      <w:pPr>
        <w:widowControl w:val="0"/>
        <w:spacing w:line="360" w:lineRule="auto"/>
        <w:ind w:firstLine="708"/>
        <w:jc w:val="both"/>
        <w:rPr>
          <w:rFonts w:ascii="Bookman Old Style" w:hAnsi="Bookman Old Style"/>
          <w:sz w:val="28"/>
          <w:szCs w:val="28"/>
        </w:rPr>
      </w:pPr>
      <w:r>
        <w:rPr>
          <w:rFonts w:ascii="Bookman Old Style" w:hAnsi="Bookman Old Style"/>
          <w:sz w:val="28"/>
          <w:szCs w:val="28"/>
        </w:rPr>
        <w:lastRenderedPageBreak/>
        <w:t xml:space="preserve">(IV) disponer que </w:t>
      </w:r>
      <w:r w:rsidRPr="003C573D">
        <w:rPr>
          <w:rFonts w:ascii="Bookman Old Style" w:hAnsi="Bookman Old Style"/>
          <w:sz w:val="28"/>
          <w:szCs w:val="28"/>
        </w:rPr>
        <w:t>el cumplimiento de los términos de duración de las instancias sería criterio obligatorio para evaluar el desempeño de los falladores.</w:t>
      </w:r>
    </w:p>
    <w:p w14:paraId="2146B0B8" w14:textId="77777777" w:rsidR="004B5ECB" w:rsidRPr="003C573D" w:rsidRDefault="004B5ECB" w:rsidP="004B5ECB">
      <w:pPr>
        <w:pStyle w:val="Textoindependiente2"/>
        <w:contextualSpacing/>
        <w:rPr>
          <w:szCs w:val="28"/>
        </w:rPr>
      </w:pPr>
    </w:p>
    <w:p w14:paraId="2FF64648" w14:textId="77777777" w:rsidR="004B5ECB" w:rsidRPr="003C573D" w:rsidRDefault="004B5ECB" w:rsidP="004B5ECB">
      <w:pPr>
        <w:pStyle w:val="Textoindependiente2"/>
        <w:contextualSpacing/>
        <w:rPr>
          <w:szCs w:val="28"/>
        </w:rPr>
      </w:pPr>
      <w:r w:rsidRPr="003C573D">
        <w:rPr>
          <w:szCs w:val="28"/>
        </w:rPr>
        <w:tab/>
        <w:t xml:space="preserve">Tales </w:t>
      </w:r>
      <w:r>
        <w:rPr>
          <w:szCs w:val="28"/>
        </w:rPr>
        <w:t xml:space="preserve">medidas fueron </w:t>
      </w:r>
      <w:r w:rsidRPr="003C573D">
        <w:rPr>
          <w:szCs w:val="28"/>
        </w:rPr>
        <w:t>sometidas al escrutinio de la Corte Constitucional que, mediante sentencia C-443 de 2019, declaró</w:t>
      </w:r>
      <w:r>
        <w:rPr>
          <w:szCs w:val="28"/>
        </w:rPr>
        <w:t xml:space="preserve"> </w:t>
      </w:r>
      <w:r w:rsidRPr="003C573D">
        <w:rPr>
          <w:szCs w:val="28"/>
        </w:rPr>
        <w:t>inexequible la expresión «</w:t>
      </w:r>
      <w:r>
        <w:rPr>
          <w:szCs w:val="28"/>
        </w:rPr>
        <w:t>‘</w:t>
      </w:r>
      <w:r w:rsidRPr="003C573D">
        <w:rPr>
          <w:i/>
          <w:iCs/>
          <w:szCs w:val="28"/>
        </w:rPr>
        <w:t>de pleno derecho</w:t>
      </w:r>
      <w:r>
        <w:rPr>
          <w:i/>
          <w:iCs/>
          <w:szCs w:val="28"/>
        </w:rPr>
        <w:t>’</w:t>
      </w:r>
      <w:r w:rsidRPr="003C573D">
        <w:rPr>
          <w:i/>
          <w:iCs/>
          <w:szCs w:val="28"/>
        </w:rPr>
        <w:t xml:space="preserve"> contenida en el inciso 6</w:t>
      </w:r>
      <w:r w:rsidRPr="003C573D">
        <w:rPr>
          <w:szCs w:val="28"/>
        </w:rPr>
        <w:t xml:space="preserve">» de la referida disposición </w:t>
      </w:r>
      <w:r>
        <w:rPr>
          <w:szCs w:val="28"/>
        </w:rPr>
        <w:t xml:space="preserve">y la </w:t>
      </w:r>
      <w:proofErr w:type="spellStart"/>
      <w:r w:rsidRPr="00BA32F7">
        <w:rPr>
          <w:szCs w:val="28"/>
        </w:rPr>
        <w:t>exequibilidad</w:t>
      </w:r>
      <w:proofErr w:type="spellEnd"/>
      <w:r w:rsidRPr="00BA32F7">
        <w:rPr>
          <w:szCs w:val="28"/>
        </w:rPr>
        <w:t xml:space="preserve"> condicionada</w:t>
      </w:r>
      <w:r>
        <w:rPr>
          <w:szCs w:val="28"/>
        </w:rPr>
        <w:t xml:space="preserve"> «</w:t>
      </w:r>
      <w:r w:rsidRPr="003C573D">
        <w:rPr>
          <w:i/>
          <w:iCs/>
          <w:szCs w:val="28"/>
        </w:rPr>
        <w:t xml:space="preserve">del resto de este inciso, en el entendido de que la nulidad allí prevista debe ser alegada antes de proferirse la sentencia, y de que es </w:t>
      </w:r>
      <w:proofErr w:type="spellStart"/>
      <w:r w:rsidRPr="003C573D">
        <w:rPr>
          <w:i/>
          <w:iCs/>
          <w:szCs w:val="28"/>
        </w:rPr>
        <w:t>saneable</w:t>
      </w:r>
      <w:proofErr w:type="spellEnd"/>
      <w:r w:rsidRPr="003C573D">
        <w:rPr>
          <w:i/>
          <w:iCs/>
          <w:szCs w:val="28"/>
        </w:rPr>
        <w:t xml:space="preserve"> en los términos del artículo 132 y subsiguientes del Código General del Proceso</w:t>
      </w:r>
      <w:r w:rsidRPr="003C573D">
        <w:rPr>
          <w:szCs w:val="28"/>
        </w:rPr>
        <w:t xml:space="preserve">»; </w:t>
      </w:r>
      <w:r>
        <w:rPr>
          <w:szCs w:val="28"/>
        </w:rPr>
        <w:t xml:space="preserve">del </w:t>
      </w:r>
      <w:r w:rsidRPr="003C573D">
        <w:rPr>
          <w:szCs w:val="28"/>
        </w:rPr>
        <w:t>«</w:t>
      </w:r>
      <w:r w:rsidRPr="003C573D">
        <w:rPr>
          <w:i/>
          <w:iCs/>
          <w:szCs w:val="28"/>
        </w:rPr>
        <w:t>inciso 2º del artículo 121 del Código General del Proceso, en el sentido de que la pérdida de competencia del funcionario judicial correspondiente sólo ocurre previa petición de parte</w:t>
      </w:r>
      <w:r w:rsidRPr="003C573D">
        <w:rPr>
          <w:szCs w:val="28"/>
        </w:rPr>
        <w:t>»; y «</w:t>
      </w:r>
      <w:r w:rsidRPr="003C573D">
        <w:rPr>
          <w:i/>
          <w:iCs/>
          <w:szCs w:val="28"/>
        </w:rPr>
        <w:t>del inciso 8º del artículo 121 del Código General del Proceso, en el sentido de que el vencimiento de los plazos contemplados en dicho precepto no implica una descalificación automática en la evaluación de desempeño de los funcionarios judiciales</w:t>
      </w:r>
      <w:r w:rsidRPr="003C573D">
        <w:rPr>
          <w:szCs w:val="28"/>
        </w:rPr>
        <w:t>».</w:t>
      </w:r>
    </w:p>
    <w:p w14:paraId="15F2FDEB" w14:textId="77777777" w:rsidR="004B5ECB" w:rsidRPr="003C573D" w:rsidRDefault="004B5ECB" w:rsidP="004B5ECB">
      <w:pPr>
        <w:pStyle w:val="Textoindependiente2"/>
        <w:contextualSpacing/>
        <w:rPr>
          <w:szCs w:val="28"/>
        </w:rPr>
      </w:pPr>
    </w:p>
    <w:p w14:paraId="2603D7F8" w14:textId="77777777" w:rsidR="004B5ECB" w:rsidRDefault="004B5ECB" w:rsidP="004B5ECB">
      <w:pPr>
        <w:pStyle w:val="Textoindependiente2"/>
        <w:ind w:firstLine="708"/>
        <w:contextualSpacing/>
        <w:rPr>
          <w:szCs w:val="28"/>
        </w:rPr>
      </w:pPr>
      <w:r>
        <w:rPr>
          <w:szCs w:val="28"/>
        </w:rPr>
        <w:t xml:space="preserve">En todo caso, ese </w:t>
      </w:r>
      <w:r w:rsidRPr="003C573D">
        <w:rPr>
          <w:szCs w:val="28"/>
        </w:rPr>
        <w:t xml:space="preserve">pronunciamiento </w:t>
      </w:r>
      <w:r>
        <w:rPr>
          <w:szCs w:val="28"/>
        </w:rPr>
        <w:t xml:space="preserve">mantuvo </w:t>
      </w:r>
      <w:r w:rsidRPr="003C573D">
        <w:rPr>
          <w:szCs w:val="28"/>
        </w:rPr>
        <w:t>incólume</w:t>
      </w:r>
      <w:r>
        <w:rPr>
          <w:szCs w:val="28"/>
        </w:rPr>
        <w:t xml:space="preserve"> </w:t>
      </w:r>
      <w:r w:rsidRPr="003C573D">
        <w:rPr>
          <w:szCs w:val="28"/>
        </w:rPr>
        <w:t xml:space="preserve">el término de duración de los procesos, </w:t>
      </w:r>
      <w:r>
        <w:rPr>
          <w:szCs w:val="28"/>
        </w:rPr>
        <w:t xml:space="preserve">así como </w:t>
      </w:r>
      <w:r w:rsidRPr="003C573D">
        <w:rPr>
          <w:szCs w:val="28"/>
        </w:rPr>
        <w:t xml:space="preserve">la nulidad </w:t>
      </w:r>
      <w:r w:rsidRPr="003C573D">
        <w:rPr>
          <w:szCs w:val="28"/>
        </w:rPr>
        <w:lastRenderedPageBreak/>
        <w:t xml:space="preserve">de las actuaciones realizadas con posterioridad y la pérdida de competencia, </w:t>
      </w:r>
      <w:r>
        <w:rPr>
          <w:szCs w:val="28"/>
        </w:rPr>
        <w:t xml:space="preserve">pero sometidas al principio de la </w:t>
      </w:r>
      <w:proofErr w:type="spellStart"/>
      <w:r>
        <w:rPr>
          <w:szCs w:val="28"/>
        </w:rPr>
        <w:t>saneabilidad</w:t>
      </w:r>
      <w:proofErr w:type="spellEnd"/>
      <w:r>
        <w:rPr>
          <w:szCs w:val="28"/>
        </w:rPr>
        <w:t xml:space="preserve">, pues las consecuencias del vencimiento del término para decidir no se alcanzarán de pleno derecho ni de forma automática, sino que están subordinadas a que se aleguen </w:t>
      </w:r>
      <w:r w:rsidRPr="003C573D">
        <w:rPr>
          <w:szCs w:val="28"/>
        </w:rPr>
        <w:t>antes de la expedición de la sentencia</w:t>
      </w:r>
      <w:r>
        <w:rPr>
          <w:szCs w:val="28"/>
        </w:rPr>
        <w:t xml:space="preserve">. De forma literal, la Corte Constitucional manifestó: </w:t>
      </w:r>
    </w:p>
    <w:p w14:paraId="7C811663" w14:textId="77777777" w:rsidR="004B5ECB" w:rsidRPr="003C573D" w:rsidRDefault="004B5ECB" w:rsidP="004B5ECB">
      <w:pPr>
        <w:pStyle w:val="Textoindependiente2"/>
        <w:contextualSpacing/>
        <w:rPr>
          <w:szCs w:val="28"/>
        </w:rPr>
      </w:pPr>
    </w:p>
    <w:p w14:paraId="7F44D73C" w14:textId="77777777" w:rsidR="004B5ECB" w:rsidRPr="0099393D" w:rsidRDefault="004B5ECB" w:rsidP="004B5ECB">
      <w:pPr>
        <w:spacing w:line="288" w:lineRule="auto"/>
        <w:ind w:left="708"/>
        <w:jc w:val="both"/>
        <w:outlineLvl w:val="0"/>
        <w:rPr>
          <w:rFonts w:ascii="Bookman Old Style" w:hAnsi="Bookman Old Style" w:cs="Arial"/>
          <w:i/>
          <w:sz w:val="24"/>
          <w:szCs w:val="24"/>
        </w:rPr>
      </w:pPr>
      <w:r>
        <w:rPr>
          <w:rFonts w:ascii="Bookman Old Style" w:hAnsi="Bookman Old Style" w:cs="Arial"/>
          <w:i/>
          <w:sz w:val="24"/>
          <w:szCs w:val="24"/>
        </w:rPr>
        <w:t>[L]</w:t>
      </w:r>
      <w:r w:rsidRPr="0099393D">
        <w:rPr>
          <w:rFonts w:ascii="Bookman Old Style" w:hAnsi="Bookman Old Style" w:cs="Arial"/>
          <w:i/>
          <w:sz w:val="24"/>
          <w:szCs w:val="24"/>
        </w:rPr>
        <w:t>a declaratoria no tienen ninguna repercusión en las reglas contenidas en los incisos 1 y 5, que establecen la duración de los procesos, pues lo que la Corte consideró contrario a la Carta Política es el hecho de que la nulidad de las actuaciones que se adelantan por el funcionario que perdió la competencia por no concluir la instancia oportunamente, opere de pleno derecho, más no que el legislador haya fijado un límite temporal a los trámites que se surten en la Rama Judicial</w:t>
      </w:r>
      <w:r>
        <w:rPr>
          <w:rFonts w:ascii="Bookman Old Style" w:hAnsi="Bookman Old Style" w:cs="Arial"/>
          <w:i/>
          <w:sz w:val="24"/>
          <w:szCs w:val="24"/>
        </w:rPr>
        <w:t>…</w:t>
      </w:r>
    </w:p>
    <w:p w14:paraId="0F0221FE" w14:textId="77777777" w:rsidR="004B5ECB" w:rsidRPr="0099393D" w:rsidRDefault="004B5ECB" w:rsidP="004B5ECB">
      <w:pPr>
        <w:spacing w:line="288" w:lineRule="auto"/>
        <w:ind w:left="708"/>
        <w:jc w:val="both"/>
        <w:outlineLvl w:val="0"/>
        <w:rPr>
          <w:rFonts w:ascii="Bookman Old Style" w:hAnsi="Bookman Old Style" w:cs="Arial"/>
          <w:i/>
          <w:sz w:val="24"/>
          <w:szCs w:val="24"/>
        </w:rPr>
      </w:pPr>
    </w:p>
    <w:p w14:paraId="5FDED73A" w14:textId="77777777" w:rsidR="004B5ECB" w:rsidRPr="0099393D" w:rsidRDefault="004B5ECB" w:rsidP="004B5ECB">
      <w:pPr>
        <w:spacing w:line="288" w:lineRule="auto"/>
        <w:ind w:left="708"/>
        <w:jc w:val="both"/>
        <w:outlineLvl w:val="0"/>
        <w:rPr>
          <w:rFonts w:ascii="Bookman Old Style" w:hAnsi="Bookman Old Style" w:cs="Arial"/>
          <w:iCs/>
          <w:sz w:val="24"/>
          <w:szCs w:val="24"/>
        </w:rPr>
      </w:pPr>
      <w:r w:rsidRPr="0099393D">
        <w:rPr>
          <w:rFonts w:ascii="Bookman Old Style" w:hAnsi="Bookman Old Style" w:cs="Arial"/>
          <w:i/>
          <w:sz w:val="24"/>
          <w:szCs w:val="24"/>
        </w:rPr>
        <w:t>la pérdida de la competencia y la nulidad originada en este vicio debe ser alegada antes de proferirse la sentencia, esto es, cuando expiren los términos legales contemplados en el artículo 121 del CGP. Con ello se pone fin a la práctica denunciada en este proceso por algunos intervinientes, en la que las partes permiten el vencimiento del plazo legal y guardan silencio sobre la pérdida automática de la competencia, para luego alegar la nulidad del fallo que es adverso a una de ellas</w:t>
      </w:r>
      <w:r>
        <w:rPr>
          <w:rFonts w:ascii="Bookman Old Style" w:hAnsi="Bookman Old Style" w:cs="Arial"/>
          <w:i/>
          <w:sz w:val="24"/>
          <w:szCs w:val="24"/>
        </w:rPr>
        <w:t xml:space="preserve"> </w:t>
      </w:r>
      <w:r>
        <w:rPr>
          <w:rFonts w:ascii="Bookman Old Style" w:hAnsi="Bookman Old Style" w:cs="Arial"/>
          <w:iCs/>
          <w:sz w:val="24"/>
          <w:szCs w:val="24"/>
        </w:rPr>
        <w:t>(</w:t>
      </w:r>
      <w:proofErr w:type="spellStart"/>
      <w:r>
        <w:rPr>
          <w:rFonts w:ascii="Bookman Old Style" w:hAnsi="Bookman Old Style" w:cs="Arial"/>
          <w:iCs/>
          <w:sz w:val="24"/>
          <w:szCs w:val="24"/>
        </w:rPr>
        <w:t>idem</w:t>
      </w:r>
      <w:proofErr w:type="spellEnd"/>
      <w:r>
        <w:rPr>
          <w:rFonts w:ascii="Bookman Old Style" w:hAnsi="Bookman Old Style" w:cs="Arial"/>
          <w:iCs/>
          <w:sz w:val="24"/>
          <w:szCs w:val="24"/>
        </w:rPr>
        <w:t>).</w:t>
      </w:r>
    </w:p>
    <w:p w14:paraId="02F3B0A1" w14:textId="77777777" w:rsidR="004B5ECB" w:rsidRDefault="004B5ECB" w:rsidP="004B5ECB">
      <w:pPr>
        <w:spacing w:line="360" w:lineRule="auto"/>
        <w:jc w:val="both"/>
        <w:rPr>
          <w:rFonts w:ascii="Bookman Old Style" w:hAnsi="Bookman Old Style"/>
          <w:sz w:val="28"/>
          <w:szCs w:val="28"/>
        </w:rPr>
      </w:pPr>
      <w:r w:rsidRPr="003C573D">
        <w:rPr>
          <w:rFonts w:ascii="Bookman Old Style" w:hAnsi="Bookman Old Style"/>
          <w:sz w:val="28"/>
          <w:szCs w:val="28"/>
        </w:rPr>
        <w:t> </w:t>
      </w:r>
    </w:p>
    <w:p w14:paraId="59CBBAD2" w14:textId="77777777" w:rsidR="004B5ECB" w:rsidRDefault="004B5ECB" w:rsidP="004B5ECB">
      <w:pPr>
        <w:spacing w:line="360" w:lineRule="auto"/>
        <w:ind w:firstLine="708"/>
        <w:jc w:val="both"/>
        <w:rPr>
          <w:rFonts w:ascii="Bookman Old Style" w:hAnsi="Bookman Old Style"/>
          <w:sz w:val="28"/>
          <w:szCs w:val="28"/>
        </w:rPr>
      </w:pPr>
      <w:r w:rsidRPr="003C573D">
        <w:rPr>
          <w:rFonts w:ascii="Bookman Old Style" w:hAnsi="Bookman Old Style"/>
          <w:sz w:val="28"/>
          <w:szCs w:val="28"/>
        </w:rPr>
        <w:t>Explicado de otra manera, de acuerdo con el actual estado de cosas constitucional</w:t>
      </w:r>
      <w:r>
        <w:rPr>
          <w:rFonts w:ascii="Bookman Old Style" w:hAnsi="Bookman Old Style"/>
          <w:sz w:val="28"/>
          <w:szCs w:val="28"/>
        </w:rPr>
        <w:t xml:space="preserve"> y la </w:t>
      </w:r>
      <w:r>
        <w:rPr>
          <w:rFonts w:ascii="Bookman Old Style" w:hAnsi="Bookman Old Style"/>
          <w:i/>
          <w:iCs/>
          <w:sz w:val="28"/>
          <w:szCs w:val="28"/>
        </w:rPr>
        <w:t xml:space="preserve">ratio </w:t>
      </w:r>
      <w:proofErr w:type="spellStart"/>
      <w:r>
        <w:rPr>
          <w:rFonts w:ascii="Bookman Old Style" w:hAnsi="Bookman Old Style"/>
          <w:i/>
          <w:iCs/>
          <w:sz w:val="28"/>
          <w:szCs w:val="28"/>
        </w:rPr>
        <w:t>decidendi</w:t>
      </w:r>
      <w:proofErr w:type="spellEnd"/>
      <w:r>
        <w:rPr>
          <w:rFonts w:ascii="Bookman Old Style" w:hAnsi="Bookman Old Style"/>
          <w:i/>
          <w:iCs/>
          <w:sz w:val="28"/>
          <w:szCs w:val="28"/>
        </w:rPr>
        <w:t xml:space="preserve"> </w:t>
      </w:r>
      <w:r>
        <w:rPr>
          <w:rFonts w:ascii="Bookman Old Style" w:hAnsi="Bookman Old Style"/>
          <w:sz w:val="28"/>
          <w:szCs w:val="28"/>
        </w:rPr>
        <w:t>de la citada decisión</w:t>
      </w:r>
      <w:r w:rsidRPr="003C573D">
        <w:rPr>
          <w:rFonts w:ascii="Bookman Old Style" w:hAnsi="Bookman Old Style"/>
          <w:sz w:val="28"/>
          <w:szCs w:val="28"/>
        </w:rPr>
        <w:t xml:space="preserve">, </w:t>
      </w:r>
      <w:r>
        <w:rPr>
          <w:rFonts w:ascii="Bookman Old Style" w:hAnsi="Bookman Old Style"/>
          <w:sz w:val="28"/>
          <w:szCs w:val="28"/>
        </w:rPr>
        <w:t xml:space="preserve">cuando </w:t>
      </w:r>
      <w:r w:rsidRPr="003C573D">
        <w:rPr>
          <w:rFonts w:ascii="Bookman Old Style" w:hAnsi="Bookman Old Style"/>
          <w:sz w:val="28"/>
          <w:szCs w:val="28"/>
        </w:rPr>
        <w:t xml:space="preserve">la parte respectiva </w:t>
      </w:r>
      <w:r>
        <w:rPr>
          <w:rFonts w:ascii="Bookman Old Style" w:hAnsi="Bookman Old Style"/>
          <w:sz w:val="28"/>
          <w:szCs w:val="28"/>
        </w:rPr>
        <w:t xml:space="preserve">solicita aplicar los efectos </w:t>
      </w:r>
      <w:r w:rsidRPr="003C573D">
        <w:rPr>
          <w:rFonts w:ascii="Bookman Old Style" w:hAnsi="Bookman Old Style"/>
          <w:sz w:val="28"/>
          <w:szCs w:val="28"/>
        </w:rPr>
        <w:t xml:space="preserve">del artículo 121 </w:t>
      </w:r>
      <w:r>
        <w:rPr>
          <w:rFonts w:ascii="Bookman Old Style" w:hAnsi="Bookman Old Style"/>
          <w:i/>
          <w:iCs/>
          <w:sz w:val="28"/>
          <w:szCs w:val="28"/>
        </w:rPr>
        <w:t>ibidem</w:t>
      </w:r>
      <w:r>
        <w:rPr>
          <w:rFonts w:ascii="Bookman Old Style" w:hAnsi="Bookman Old Style"/>
          <w:sz w:val="28"/>
          <w:szCs w:val="28"/>
        </w:rPr>
        <w:t>,</w:t>
      </w:r>
      <w:r>
        <w:rPr>
          <w:rFonts w:ascii="Bookman Old Style" w:hAnsi="Bookman Old Style"/>
          <w:i/>
          <w:iCs/>
          <w:sz w:val="28"/>
          <w:szCs w:val="28"/>
        </w:rPr>
        <w:t xml:space="preserve"> </w:t>
      </w:r>
      <w:r>
        <w:rPr>
          <w:rFonts w:ascii="Bookman Old Style" w:hAnsi="Bookman Old Style"/>
          <w:sz w:val="28"/>
          <w:szCs w:val="28"/>
        </w:rPr>
        <w:t xml:space="preserve">luego del </w:t>
      </w:r>
      <w:r w:rsidRPr="003C573D">
        <w:rPr>
          <w:rFonts w:ascii="Bookman Old Style" w:hAnsi="Bookman Old Style"/>
          <w:sz w:val="28"/>
          <w:szCs w:val="28"/>
        </w:rPr>
        <w:t xml:space="preserve">vencimiento del </w:t>
      </w:r>
      <w:r w:rsidRPr="003C573D">
        <w:rPr>
          <w:rFonts w:ascii="Bookman Old Style" w:hAnsi="Bookman Old Style"/>
          <w:sz w:val="28"/>
          <w:szCs w:val="28"/>
        </w:rPr>
        <w:lastRenderedPageBreak/>
        <w:t xml:space="preserve">plazo de duración de la instancia y antes de la expedición de la sentencia, </w:t>
      </w:r>
      <w:r>
        <w:rPr>
          <w:rFonts w:ascii="Bookman Old Style" w:hAnsi="Bookman Old Style"/>
          <w:sz w:val="28"/>
          <w:szCs w:val="28"/>
        </w:rPr>
        <w:t xml:space="preserve">indefectiblemente </w:t>
      </w:r>
      <w:r w:rsidRPr="003C573D">
        <w:rPr>
          <w:rFonts w:ascii="Bookman Old Style" w:hAnsi="Bookman Old Style"/>
          <w:sz w:val="28"/>
          <w:szCs w:val="28"/>
        </w:rPr>
        <w:t xml:space="preserve">se configura una nulidad que conduce al quiebre del fallo y </w:t>
      </w:r>
      <w:r>
        <w:rPr>
          <w:rFonts w:ascii="Bookman Old Style" w:hAnsi="Bookman Old Style"/>
          <w:sz w:val="28"/>
          <w:szCs w:val="28"/>
        </w:rPr>
        <w:t xml:space="preserve">la </w:t>
      </w:r>
      <w:r w:rsidRPr="003C573D">
        <w:rPr>
          <w:rFonts w:ascii="Bookman Old Style" w:hAnsi="Bookman Old Style"/>
          <w:sz w:val="28"/>
          <w:szCs w:val="28"/>
        </w:rPr>
        <w:t>reno</w:t>
      </w:r>
      <w:r>
        <w:rPr>
          <w:rFonts w:ascii="Bookman Old Style" w:hAnsi="Bookman Old Style"/>
          <w:sz w:val="28"/>
          <w:szCs w:val="28"/>
        </w:rPr>
        <w:t>vación de</w:t>
      </w:r>
      <w:r w:rsidRPr="003C573D">
        <w:rPr>
          <w:rFonts w:ascii="Bookman Old Style" w:hAnsi="Bookman Old Style"/>
          <w:sz w:val="28"/>
          <w:szCs w:val="28"/>
        </w:rPr>
        <w:t xml:space="preserve"> las actuaciones viciadas. </w:t>
      </w:r>
    </w:p>
    <w:p w14:paraId="77CAFC2E" w14:textId="77777777" w:rsidR="004B5ECB" w:rsidRDefault="004B5ECB" w:rsidP="004B5ECB">
      <w:pPr>
        <w:spacing w:line="360" w:lineRule="auto"/>
        <w:ind w:firstLine="708"/>
        <w:jc w:val="both"/>
        <w:rPr>
          <w:rFonts w:ascii="Bookman Old Style" w:hAnsi="Bookman Old Style"/>
          <w:sz w:val="28"/>
          <w:szCs w:val="28"/>
        </w:rPr>
      </w:pPr>
    </w:p>
    <w:p w14:paraId="41396526" w14:textId="77777777" w:rsidR="004B5ECB" w:rsidRPr="00B63A09" w:rsidRDefault="004B5ECB" w:rsidP="004B5ECB">
      <w:pPr>
        <w:spacing w:line="360" w:lineRule="auto"/>
        <w:ind w:firstLine="709"/>
        <w:jc w:val="both"/>
        <w:outlineLvl w:val="0"/>
        <w:rPr>
          <w:rFonts w:ascii="Bookman Old Style" w:hAnsi="Bookman Old Style" w:cs="Arial"/>
          <w:sz w:val="28"/>
          <w:szCs w:val="28"/>
        </w:rPr>
      </w:pPr>
      <w:r>
        <w:rPr>
          <w:rFonts w:ascii="Bookman Old Style" w:hAnsi="Bookman Old Style" w:cs="Arial"/>
          <w:sz w:val="28"/>
          <w:szCs w:val="28"/>
        </w:rPr>
        <w:t xml:space="preserve">La </w:t>
      </w:r>
      <w:r w:rsidRPr="00B63A09">
        <w:rPr>
          <w:rFonts w:ascii="Bookman Old Style" w:hAnsi="Bookman Old Style" w:cs="Arial"/>
          <w:sz w:val="28"/>
          <w:szCs w:val="28"/>
        </w:rPr>
        <w:t>Corte Suprema de Justicia</w:t>
      </w:r>
      <w:r>
        <w:rPr>
          <w:rFonts w:ascii="Bookman Old Style" w:hAnsi="Bookman Old Style" w:cs="Arial"/>
          <w:sz w:val="28"/>
          <w:szCs w:val="28"/>
        </w:rPr>
        <w:t xml:space="preserve"> explicó que, </w:t>
      </w:r>
      <w:r w:rsidRPr="00B63A09">
        <w:rPr>
          <w:rFonts w:ascii="Bookman Old Style" w:hAnsi="Bookman Old Style" w:cs="Arial"/>
          <w:sz w:val="28"/>
          <w:szCs w:val="28"/>
        </w:rPr>
        <w:t>después de conocido «</w:t>
      </w:r>
      <w:r w:rsidRPr="000367EE">
        <w:rPr>
          <w:rFonts w:ascii="Bookman Old Style" w:hAnsi="Bookman Old Style" w:cs="Arial"/>
          <w:i/>
          <w:iCs/>
          <w:sz w:val="28"/>
          <w:szCs w:val="28"/>
        </w:rPr>
        <w:t>que la Corte Constitucional declaró inexequible la expresión de ‘pleno derecho’ contenida en el inciso sexto del artículo 121 del CGP, … significa que la nulidad no opera de pleno derecho, por tanto, debe ser alegada por las partes antes de proferirse la correspondiente sentencia, y esta puede sanearse de conformidad con la normatividad procesal civil (art. 132 y subsiguientes del CGP)</w:t>
      </w:r>
      <w:r w:rsidRPr="00B63A09">
        <w:rPr>
          <w:rFonts w:ascii="Bookman Old Style" w:hAnsi="Bookman Old Style" w:cs="Arial"/>
          <w:sz w:val="28"/>
          <w:szCs w:val="28"/>
        </w:rPr>
        <w:t xml:space="preserve">» (AC5149, 4 dic. 2019, rad. </w:t>
      </w:r>
      <w:proofErr w:type="spellStart"/>
      <w:r w:rsidRPr="00B63A09">
        <w:rPr>
          <w:rFonts w:ascii="Bookman Old Style" w:hAnsi="Bookman Old Style" w:cs="Arial"/>
          <w:sz w:val="28"/>
          <w:szCs w:val="28"/>
        </w:rPr>
        <w:t>n.°</w:t>
      </w:r>
      <w:proofErr w:type="spellEnd"/>
      <w:r w:rsidRPr="00B63A09">
        <w:rPr>
          <w:rFonts w:ascii="Bookman Old Style" w:hAnsi="Bookman Old Style" w:cs="Arial"/>
          <w:sz w:val="28"/>
          <w:szCs w:val="28"/>
        </w:rPr>
        <w:t xml:space="preserve"> 2011-00299-01).</w:t>
      </w:r>
    </w:p>
    <w:p w14:paraId="51EA4722" w14:textId="77777777" w:rsidR="004B5ECB" w:rsidRPr="00B63A09" w:rsidRDefault="004B5ECB" w:rsidP="004B5ECB">
      <w:pPr>
        <w:spacing w:line="360" w:lineRule="auto"/>
        <w:ind w:firstLine="709"/>
        <w:jc w:val="both"/>
        <w:outlineLvl w:val="0"/>
        <w:rPr>
          <w:rFonts w:ascii="Bookman Old Style" w:hAnsi="Bookman Old Style" w:cs="Arial"/>
          <w:sz w:val="28"/>
          <w:szCs w:val="28"/>
        </w:rPr>
      </w:pPr>
    </w:p>
    <w:p w14:paraId="23B7C582" w14:textId="77777777" w:rsidR="004B5ECB" w:rsidRPr="00B63A09" w:rsidRDefault="004B5ECB" w:rsidP="004B5ECB">
      <w:pPr>
        <w:spacing w:line="360" w:lineRule="auto"/>
        <w:ind w:firstLine="709"/>
        <w:jc w:val="both"/>
        <w:outlineLvl w:val="0"/>
        <w:rPr>
          <w:rFonts w:ascii="Bookman Old Style" w:hAnsi="Bookman Old Style" w:cs="Arial"/>
          <w:sz w:val="28"/>
          <w:szCs w:val="28"/>
        </w:rPr>
      </w:pPr>
      <w:r w:rsidRPr="00B63A09">
        <w:rPr>
          <w:rFonts w:ascii="Bookman Old Style" w:hAnsi="Bookman Old Style" w:cs="Arial"/>
          <w:sz w:val="28"/>
          <w:szCs w:val="28"/>
        </w:rPr>
        <w:t xml:space="preserve">Poco tiempo después reiteró: </w:t>
      </w:r>
    </w:p>
    <w:p w14:paraId="5C20E41E" w14:textId="77777777" w:rsidR="004B5ECB" w:rsidRPr="00B63A09" w:rsidRDefault="004B5ECB" w:rsidP="004B5ECB">
      <w:pPr>
        <w:spacing w:line="360" w:lineRule="auto"/>
        <w:ind w:firstLine="709"/>
        <w:jc w:val="both"/>
        <w:outlineLvl w:val="0"/>
        <w:rPr>
          <w:rFonts w:ascii="Bookman Old Style" w:hAnsi="Bookman Old Style" w:cs="Arial"/>
          <w:sz w:val="28"/>
          <w:szCs w:val="28"/>
        </w:rPr>
      </w:pPr>
    </w:p>
    <w:p w14:paraId="74DC2F35" w14:textId="77777777" w:rsidR="004B5ECB" w:rsidRPr="0099393D" w:rsidRDefault="004B5ECB" w:rsidP="004B5ECB">
      <w:pPr>
        <w:spacing w:line="288" w:lineRule="auto"/>
        <w:ind w:left="708"/>
        <w:jc w:val="both"/>
        <w:outlineLvl w:val="0"/>
        <w:rPr>
          <w:rFonts w:ascii="Bookman Old Style" w:hAnsi="Bookman Old Style" w:cs="Arial"/>
          <w:iCs/>
          <w:sz w:val="24"/>
          <w:szCs w:val="24"/>
        </w:rPr>
      </w:pPr>
      <w:r w:rsidRPr="0099393D">
        <w:rPr>
          <w:rFonts w:ascii="Bookman Old Style" w:hAnsi="Bookman Old Style" w:cs="Arial"/>
          <w:i/>
          <w:sz w:val="24"/>
          <w:szCs w:val="24"/>
        </w:rPr>
        <w:t xml:space="preserve">La Sala en la providencia AC5139-2019 de fecha 3 de diciembre del año que avanza, al reexaminar la temática concerniente a si la nulidad por falta de competencia por vencimiento del plazo para adoptar la providencia pertinente es o no </w:t>
      </w:r>
      <w:proofErr w:type="spellStart"/>
      <w:r w:rsidRPr="0099393D">
        <w:rPr>
          <w:rFonts w:ascii="Bookman Old Style" w:hAnsi="Bookman Old Style" w:cs="Arial"/>
          <w:i/>
          <w:sz w:val="24"/>
          <w:szCs w:val="24"/>
        </w:rPr>
        <w:t>saneable</w:t>
      </w:r>
      <w:proofErr w:type="spellEnd"/>
      <w:r w:rsidRPr="0099393D">
        <w:rPr>
          <w:rFonts w:ascii="Bookman Old Style" w:hAnsi="Bookman Old Style" w:cs="Arial"/>
          <w:i/>
          <w:sz w:val="24"/>
          <w:szCs w:val="24"/>
        </w:rPr>
        <w:t xml:space="preserve">, estando en sede de casación, y ante la posibilidad que solo se utilice dicha herramienta jurídica como última carta para quebrar la sentencia cuya decisión le resultó contraria al impugnante extraordinario, como ocurrió en el sub examine, no obstante de haber tenido el recurrente la oportunidad para invocarla oportunamente, se apartó de la doctrina expuesta como juez constitucional en el sentido de que dicha nulidad debe formularse tempestivamente, so pena que quede saneada, y, por tanto, no hay lugar a su reconocimiento, doctrina que se encuentra orientada significativamente a realizar </w:t>
      </w:r>
      <w:r w:rsidRPr="0099393D">
        <w:rPr>
          <w:rFonts w:ascii="Bookman Old Style" w:hAnsi="Bookman Old Style" w:cs="Arial"/>
          <w:i/>
          <w:sz w:val="24"/>
          <w:szCs w:val="24"/>
        </w:rPr>
        <w:lastRenderedPageBreak/>
        <w:t xml:space="preserve">los derechos, principios y valores constitucionales… </w:t>
      </w:r>
      <w:r w:rsidRPr="0099393D">
        <w:rPr>
          <w:rFonts w:ascii="Bookman Old Style" w:hAnsi="Bookman Old Style" w:cs="Arial"/>
          <w:iCs/>
          <w:sz w:val="24"/>
          <w:szCs w:val="24"/>
        </w:rPr>
        <w:t xml:space="preserve">(AC791, 6 mar. 2020, rad. </w:t>
      </w:r>
      <w:proofErr w:type="spellStart"/>
      <w:r w:rsidRPr="0099393D">
        <w:rPr>
          <w:rFonts w:ascii="Bookman Old Style" w:hAnsi="Bookman Old Style" w:cs="Arial"/>
          <w:iCs/>
          <w:sz w:val="24"/>
          <w:szCs w:val="24"/>
        </w:rPr>
        <w:t>n.°</w:t>
      </w:r>
      <w:proofErr w:type="spellEnd"/>
      <w:r w:rsidRPr="0099393D">
        <w:rPr>
          <w:rFonts w:ascii="Bookman Old Style" w:hAnsi="Bookman Old Style" w:cs="Arial"/>
          <w:iCs/>
          <w:sz w:val="24"/>
          <w:szCs w:val="24"/>
        </w:rPr>
        <w:t xml:space="preserve"> 2014-00033-01).</w:t>
      </w:r>
    </w:p>
    <w:p w14:paraId="3E0BFC11" w14:textId="77777777" w:rsidR="004B5ECB" w:rsidRDefault="004B5ECB" w:rsidP="004B5ECB">
      <w:pPr>
        <w:spacing w:line="360" w:lineRule="auto"/>
        <w:ind w:firstLine="708"/>
        <w:jc w:val="both"/>
        <w:rPr>
          <w:rFonts w:ascii="Bookman Old Style" w:hAnsi="Bookman Old Style"/>
          <w:sz w:val="28"/>
          <w:szCs w:val="28"/>
        </w:rPr>
      </w:pPr>
    </w:p>
    <w:p w14:paraId="6CD1DCBC" w14:textId="77777777" w:rsidR="004B5ECB" w:rsidRDefault="004B5ECB" w:rsidP="004B5ECB">
      <w:pPr>
        <w:spacing w:line="360" w:lineRule="auto"/>
        <w:ind w:firstLine="709"/>
        <w:jc w:val="both"/>
        <w:rPr>
          <w:rFonts w:ascii="Bookman Old Style" w:hAnsi="Bookman Old Style" w:cs="Arial"/>
          <w:sz w:val="28"/>
          <w:szCs w:val="28"/>
        </w:rPr>
      </w:pPr>
      <w:r>
        <w:rPr>
          <w:rFonts w:ascii="Bookman Old Style" w:hAnsi="Bookman Old Style"/>
          <w:sz w:val="28"/>
          <w:szCs w:val="28"/>
        </w:rPr>
        <w:t>3</w:t>
      </w:r>
      <w:r w:rsidRPr="003C573D">
        <w:rPr>
          <w:rFonts w:ascii="Bookman Old Style" w:hAnsi="Bookman Old Style"/>
          <w:sz w:val="28"/>
          <w:szCs w:val="28"/>
        </w:rPr>
        <w:t xml:space="preserve">. </w:t>
      </w:r>
      <w:r>
        <w:rPr>
          <w:rFonts w:ascii="Bookman Old Style" w:hAnsi="Bookman Old Style" w:cs="Arial"/>
          <w:sz w:val="28"/>
          <w:szCs w:val="28"/>
        </w:rPr>
        <w:t>En el caso de la radicación la Sala sostuvo que: (I) el cambio del funcionario competente es un motivo de interrupción del término de duración del proceso el cual, en consecuencia, debe volverse a computar, para lo cual citó la decisión CSJ STC 12660, 18 sep. 2019; (II) la expedición tardía de la sentencia es intrascendente y no transgrede el derecho fundamental al debido proceso; y (III) el auto del Tribunal que resuelve la petición de nulidad hace tránsito a cosa juzgada y resulta intangible para la Sala al resolver el recurso de casación.</w:t>
      </w:r>
    </w:p>
    <w:p w14:paraId="4A0DF9DA" w14:textId="77777777" w:rsidR="004B5ECB" w:rsidRDefault="004B5ECB" w:rsidP="004B5ECB">
      <w:pPr>
        <w:spacing w:line="360" w:lineRule="auto"/>
        <w:ind w:firstLine="709"/>
        <w:jc w:val="both"/>
        <w:rPr>
          <w:rFonts w:ascii="Bookman Old Style" w:hAnsi="Bookman Old Style" w:cs="Arial"/>
          <w:sz w:val="28"/>
          <w:szCs w:val="28"/>
        </w:rPr>
      </w:pPr>
    </w:p>
    <w:p w14:paraId="15370D38" w14:textId="77777777" w:rsidR="004B5ECB" w:rsidRDefault="004B5ECB" w:rsidP="004B5ECB">
      <w:pPr>
        <w:spacing w:line="360" w:lineRule="auto"/>
        <w:ind w:firstLine="709"/>
        <w:jc w:val="both"/>
        <w:rPr>
          <w:rFonts w:ascii="Bookman Old Style" w:hAnsi="Bookman Old Style" w:cs="Arial"/>
          <w:sz w:val="28"/>
          <w:szCs w:val="28"/>
        </w:rPr>
      </w:pPr>
      <w:r>
        <w:rPr>
          <w:rFonts w:ascii="Bookman Old Style" w:hAnsi="Bookman Old Style" w:cs="Arial"/>
          <w:sz w:val="28"/>
          <w:szCs w:val="28"/>
        </w:rPr>
        <w:t>3.1. En realidad, la Sala se basó en un precedente aislado (CSJ STC 12660, 18 sep. 2019) sobre los efectos del cambio del juez o magistrado en el cómputo del término previsto en el artículo 121 del Código General del Proceso, para lo cual sostuvo que era causal de interrupción y reanudación. Sin embargo, la ley no establece ese efecto, razón suficiente para que la Sala no pudiera aplicarlo al caso concreto.</w:t>
      </w:r>
    </w:p>
    <w:p w14:paraId="7C02DBD5" w14:textId="77777777" w:rsidR="004B5ECB" w:rsidRDefault="004B5ECB" w:rsidP="004B5ECB">
      <w:pPr>
        <w:spacing w:line="360" w:lineRule="auto"/>
        <w:ind w:firstLine="709"/>
        <w:jc w:val="both"/>
        <w:rPr>
          <w:rFonts w:ascii="Bookman Old Style" w:hAnsi="Bookman Old Style" w:cs="Arial"/>
          <w:sz w:val="28"/>
          <w:szCs w:val="28"/>
        </w:rPr>
      </w:pPr>
    </w:p>
    <w:p w14:paraId="14B866F4" w14:textId="77777777" w:rsidR="004B5ECB" w:rsidRDefault="004B5ECB" w:rsidP="004B5ECB">
      <w:pPr>
        <w:spacing w:line="360" w:lineRule="auto"/>
        <w:ind w:firstLine="709"/>
        <w:jc w:val="both"/>
        <w:rPr>
          <w:rFonts w:ascii="Bookman Old Style" w:hAnsi="Bookman Old Style" w:cs="Arial"/>
          <w:sz w:val="28"/>
          <w:szCs w:val="28"/>
        </w:rPr>
      </w:pPr>
      <w:r>
        <w:rPr>
          <w:rFonts w:ascii="Bookman Old Style" w:hAnsi="Bookman Old Style" w:cs="Arial"/>
          <w:sz w:val="28"/>
          <w:szCs w:val="28"/>
        </w:rPr>
        <w:t xml:space="preserve">3.2. Por otro lado, se echa de menos de la decisión mayoritaria alguna explicación sobre por qué la transgresión del plazo de duración razonable del proceso no transgrede el derecho fundamental al debido proceso, a pesar de que la Corte Constitucional solamente declaró la </w:t>
      </w:r>
      <w:proofErr w:type="spellStart"/>
      <w:r>
        <w:rPr>
          <w:rFonts w:ascii="Bookman Old Style" w:hAnsi="Bookman Old Style" w:cs="Arial"/>
          <w:sz w:val="28"/>
          <w:szCs w:val="28"/>
        </w:rPr>
        <w:t>inexequiblidad</w:t>
      </w:r>
      <w:proofErr w:type="spellEnd"/>
      <w:r>
        <w:rPr>
          <w:rFonts w:ascii="Bookman Old Style" w:hAnsi="Bookman Old Style" w:cs="Arial"/>
          <w:sz w:val="28"/>
          <w:szCs w:val="28"/>
        </w:rPr>
        <w:t xml:space="preserve"> de </w:t>
      </w:r>
      <w:r>
        <w:rPr>
          <w:rFonts w:ascii="Bookman Old Style" w:hAnsi="Bookman Old Style" w:cs="Arial"/>
          <w:sz w:val="28"/>
          <w:szCs w:val="28"/>
        </w:rPr>
        <w:lastRenderedPageBreak/>
        <w:t>las expresiones automática y de pleno derecho que acompañaban las consecuencias del vencimiento del término de duración de decurso previstas en el artículo 121 del Código General del Proceso, pero mantuvo tales efectos, es decir, que su desconocimiento sigue causando nulidad del trámite y pérdida de competencia, con la anotación de que ya no serán de pleno derecho ni automática.</w:t>
      </w:r>
    </w:p>
    <w:p w14:paraId="015259C3" w14:textId="77777777" w:rsidR="004B5ECB" w:rsidRDefault="004B5ECB" w:rsidP="004B5ECB">
      <w:pPr>
        <w:spacing w:line="360" w:lineRule="auto"/>
        <w:ind w:firstLine="709"/>
        <w:jc w:val="both"/>
        <w:rPr>
          <w:rFonts w:ascii="Bookman Old Style" w:hAnsi="Bookman Old Style" w:cs="Arial"/>
          <w:sz w:val="28"/>
          <w:szCs w:val="28"/>
        </w:rPr>
      </w:pPr>
    </w:p>
    <w:p w14:paraId="70875D46" w14:textId="39447872" w:rsidR="004B5ECB" w:rsidRDefault="004B5ECB" w:rsidP="00F67E9D">
      <w:pPr>
        <w:spacing w:line="360" w:lineRule="auto"/>
        <w:ind w:firstLine="709"/>
        <w:jc w:val="both"/>
        <w:rPr>
          <w:rFonts w:ascii="Bookman Old Style" w:hAnsi="Bookman Old Style" w:cs="Arial"/>
          <w:sz w:val="28"/>
          <w:szCs w:val="28"/>
        </w:rPr>
      </w:pPr>
      <w:r>
        <w:rPr>
          <w:rFonts w:ascii="Bookman Old Style" w:hAnsi="Bookman Old Style" w:cs="Arial"/>
          <w:sz w:val="28"/>
          <w:szCs w:val="28"/>
        </w:rPr>
        <w:t>3.3. Finalmente, resultaba inadecuado argumentar que la decisión interlocutoria de las instancias para negar la petición de nulidad tiene efectos de cosa juzgada. Tal argumento desconoce que la Sala de Casación Civil y Agraria de la Corte Suprema de Justicia ejerce una doble función constitucional de máximo órgano de la jurisdicción ordinaria en su especialidad y tribunal de casación (arts. 234 y 235 #1 de la C.P.; Cfr. CSJ SC048, 29 mar. 2023, rad. 2003-00891), razón por la que un auto proferido durante las instancias para resolver la petición de nulidad, por regla general, no le impide revisar si se configura la causal de casación invocada mediante recurso extraordinario de casación, pues se está creando un obstáculo inexistente para el ejercicio de sus competencias.</w:t>
      </w:r>
    </w:p>
    <w:p w14:paraId="12CD7FEA" w14:textId="77777777" w:rsidR="00F67E9D" w:rsidRDefault="00F67E9D" w:rsidP="00F67E9D">
      <w:pPr>
        <w:spacing w:after="0" w:line="240" w:lineRule="auto"/>
        <w:ind w:firstLine="709"/>
        <w:jc w:val="both"/>
        <w:rPr>
          <w:rFonts w:ascii="Bookman Old Style" w:hAnsi="Bookman Old Style" w:cs="Arial"/>
          <w:sz w:val="28"/>
          <w:szCs w:val="28"/>
        </w:rPr>
      </w:pPr>
    </w:p>
    <w:p w14:paraId="1C21071E" w14:textId="63BF5EC0" w:rsidR="004B5ECB" w:rsidRDefault="004B5ECB" w:rsidP="00F67E9D">
      <w:pPr>
        <w:spacing w:line="360" w:lineRule="auto"/>
        <w:ind w:firstLine="709"/>
        <w:jc w:val="both"/>
        <w:rPr>
          <w:rFonts w:ascii="Bookman Old Style" w:hAnsi="Bookman Old Style" w:cs="Arial"/>
          <w:sz w:val="28"/>
          <w:szCs w:val="28"/>
        </w:rPr>
      </w:pPr>
      <w:r>
        <w:rPr>
          <w:rFonts w:ascii="Bookman Old Style" w:hAnsi="Bookman Old Style" w:cs="Arial"/>
          <w:sz w:val="28"/>
          <w:szCs w:val="28"/>
        </w:rPr>
        <w:t>Además, como si lo anterior fuera insuficiente, la cosa juzgada se predica generalmente de las sentencias (art. 303 del CGP), y no de los autos, aspecto nuclear que fue pasado por alto en el proyecto.</w:t>
      </w:r>
    </w:p>
    <w:p w14:paraId="3A1AD461" w14:textId="77777777" w:rsidR="004B5ECB" w:rsidRDefault="004B5ECB" w:rsidP="004B5ECB">
      <w:pPr>
        <w:spacing w:line="360" w:lineRule="auto"/>
        <w:ind w:firstLine="709"/>
        <w:jc w:val="both"/>
        <w:rPr>
          <w:rFonts w:ascii="Bookman Old Style" w:hAnsi="Bookman Old Style" w:cs="Arial"/>
          <w:sz w:val="28"/>
          <w:szCs w:val="28"/>
        </w:rPr>
      </w:pPr>
      <w:r>
        <w:rPr>
          <w:rFonts w:ascii="Bookman Old Style" w:hAnsi="Bookman Old Style" w:cs="Arial"/>
          <w:sz w:val="28"/>
          <w:szCs w:val="28"/>
        </w:rPr>
        <w:lastRenderedPageBreak/>
        <w:t>En suma, de la manera como fue resuelto este asunto, resulta virtualmente imposible que se reconozca la nulidad por vencimiento del término de duración del proceso, posición que desconoce la causal de invalidez prevista expresamente por el artículo 121 del Código General del Proceso, inaplicado sin justificación en esta oportunidad.</w:t>
      </w:r>
    </w:p>
    <w:p w14:paraId="325255D8" w14:textId="77777777" w:rsidR="004B5ECB" w:rsidRPr="00F73765" w:rsidRDefault="004B5ECB" w:rsidP="00F67E9D">
      <w:pPr>
        <w:spacing w:line="240" w:lineRule="auto"/>
        <w:ind w:firstLine="709"/>
        <w:jc w:val="both"/>
        <w:rPr>
          <w:rFonts w:ascii="Bookman Old Style" w:hAnsi="Bookman Old Style" w:cs="Arial"/>
          <w:sz w:val="28"/>
          <w:szCs w:val="28"/>
        </w:rPr>
      </w:pPr>
    </w:p>
    <w:p w14:paraId="1BB419AF" w14:textId="77777777" w:rsidR="004B5ECB" w:rsidRDefault="004B5ECB" w:rsidP="004B5ECB">
      <w:pPr>
        <w:pStyle w:val="Prrafodelista"/>
        <w:widowControl w:val="0"/>
        <w:spacing w:after="0" w:line="360" w:lineRule="auto"/>
        <w:ind w:left="0" w:firstLine="708"/>
        <w:jc w:val="both"/>
        <w:rPr>
          <w:rFonts w:ascii="Bookman Old Style" w:eastAsia="Times New Roman" w:hAnsi="Bookman Old Style"/>
          <w:sz w:val="28"/>
          <w:szCs w:val="28"/>
          <w:lang w:val="es-ES_tradnl" w:eastAsia="es-ES"/>
        </w:rPr>
      </w:pPr>
      <w:r>
        <w:rPr>
          <w:rFonts w:ascii="Bookman Old Style" w:eastAsia="Times New Roman" w:hAnsi="Bookman Old Style"/>
          <w:sz w:val="28"/>
          <w:szCs w:val="28"/>
          <w:lang w:val="es-ES_tradnl" w:eastAsia="es-ES"/>
        </w:rPr>
        <w:t xml:space="preserve">4. En todo caso, reitero que la </w:t>
      </w:r>
      <w:r w:rsidRPr="00F73765">
        <w:rPr>
          <w:rFonts w:ascii="Bookman Old Style" w:hAnsi="Bookman Old Style"/>
          <w:sz w:val="28"/>
          <w:szCs w:val="28"/>
        </w:rPr>
        <w:t>obligatoriedad del precedente jurisprudencial no se sustenta únicamente en la posición jerárquica ostentada por la autoridad judicial que lo establece, sino en valores constitucionales como la seguridad jurídica, la igualdad y la confianza legítima de los usuarios</w:t>
      </w:r>
      <w:r>
        <w:rPr>
          <w:rFonts w:ascii="Bookman Old Style" w:hAnsi="Bookman Old Style"/>
          <w:sz w:val="28"/>
          <w:szCs w:val="28"/>
        </w:rPr>
        <w:t>, donde es insuficiente que una nueva interpretación sea mejor o más elaborada para que se imponga sobre la jurisprudencia vigente</w:t>
      </w:r>
      <w:r>
        <w:rPr>
          <w:rFonts w:ascii="Bookman Old Style" w:hAnsi="Bookman Old Style"/>
          <w:i/>
          <w:iCs/>
          <w:sz w:val="28"/>
          <w:szCs w:val="28"/>
        </w:rPr>
        <w:t xml:space="preserve"> </w:t>
      </w:r>
      <w:r>
        <w:rPr>
          <w:rFonts w:ascii="Bookman Old Style" w:hAnsi="Bookman Old Style"/>
          <w:sz w:val="28"/>
          <w:szCs w:val="28"/>
        </w:rPr>
        <w:t xml:space="preserve">(salvamentos de voto a las decisiones CSJ STC12660, 18 sep. 2019, rad. 2019-01830 y CSJ SC3255, 4 </w:t>
      </w:r>
      <w:proofErr w:type="spellStart"/>
      <w:r>
        <w:rPr>
          <w:rFonts w:ascii="Bookman Old Style" w:hAnsi="Bookman Old Style"/>
          <w:sz w:val="28"/>
          <w:szCs w:val="28"/>
        </w:rPr>
        <w:t>ag</w:t>
      </w:r>
      <w:proofErr w:type="spellEnd"/>
      <w:r>
        <w:rPr>
          <w:rFonts w:ascii="Bookman Old Style" w:hAnsi="Bookman Old Style"/>
          <w:sz w:val="28"/>
          <w:szCs w:val="28"/>
        </w:rPr>
        <w:t>. 2021, rad. 2014-00116). Esto me lleva a dejar constancia de mis argumentos en torno a la nulidad por el vencimiento del término de duración del proceso y, de ahora en adelante, en aras de la coherencia de la jurisprudencia, aplicar el precedente de la Sala.</w:t>
      </w:r>
    </w:p>
    <w:p w14:paraId="674A1CB9" w14:textId="77777777" w:rsidR="004B5ECB" w:rsidRDefault="004B5ECB" w:rsidP="004B5ECB">
      <w:pPr>
        <w:pStyle w:val="Prrafodelista"/>
        <w:widowControl w:val="0"/>
        <w:spacing w:after="0" w:line="360" w:lineRule="auto"/>
        <w:ind w:left="0" w:firstLine="708"/>
        <w:jc w:val="both"/>
        <w:rPr>
          <w:rFonts w:ascii="Bookman Old Style" w:eastAsia="Times New Roman" w:hAnsi="Bookman Old Style"/>
          <w:sz w:val="28"/>
          <w:szCs w:val="28"/>
          <w:lang w:val="es-ES_tradnl" w:eastAsia="es-ES"/>
        </w:rPr>
      </w:pPr>
    </w:p>
    <w:p w14:paraId="213CD05B" w14:textId="77777777" w:rsidR="004B5ECB" w:rsidRPr="003C573D" w:rsidRDefault="004B5ECB" w:rsidP="004B5ECB">
      <w:pPr>
        <w:pStyle w:val="Prrafodelista"/>
        <w:widowControl w:val="0"/>
        <w:spacing w:after="0" w:line="360" w:lineRule="auto"/>
        <w:ind w:left="0" w:firstLine="708"/>
        <w:jc w:val="both"/>
        <w:rPr>
          <w:rFonts w:ascii="Bookman Old Style" w:eastAsia="Times New Roman" w:hAnsi="Bookman Old Style"/>
          <w:sz w:val="28"/>
          <w:szCs w:val="28"/>
          <w:lang w:val="es-ES_tradnl" w:eastAsia="es-ES"/>
        </w:rPr>
      </w:pPr>
      <w:r w:rsidRPr="003C573D">
        <w:rPr>
          <w:rFonts w:ascii="Bookman Old Style" w:eastAsia="Times New Roman" w:hAnsi="Bookman Old Style"/>
          <w:sz w:val="28"/>
          <w:szCs w:val="28"/>
          <w:lang w:val="es-ES_tradnl" w:eastAsia="es-ES"/>
        </w:rPr>
        <w:t xml:space="preserve">En los anteriores términos dejo </w:t>
      </w:r>
      <w:r>
        <w:rPr>
          <w:rFonts w:ascii="Bookman Old Style" w:eastAsia="Times New Roman" w:hAnsi="Bookman Old Style"/>
          <w:sz w:val="28"/>
          <w:szCs w:val="28"/>
          <w:lang w:val="es-ES_tradnl" w:eastAsia="es-ES"/>
        </w:rPr>
        <w:t>sentada mi aclaración parcial de voto.</w:t>
      </w:r>
    </w:p>
    <w:p w14:paraId="35120328" w14:textId="77777777" w:rsidR="004B5ECB" w:rsidRPr="003C573D" w:rsidRDefault="004B5ECB" w:rsidP="004B5ECB">
      <w:pPr>
        <w:pStyle w:val="Prrafodelista"/>
        <w:widowControl w:val="0"/>
        <w:spacing w:after="0" w:line="360" w:lineRule="auto"/>
        <w:ind w:left="0"/>
        <w:jc w:val="both"/>
        <w:rPr>
          <w:rFonts w:ascii="Bookman Old Style" w:eastAsia="Times New Roman" w:hAnsi="Bookman Old Style"/>
          <w:sz w:val="28"/>
          <w:szCs w:val="28"/>
          <w:lang w:val="es-ES_tradnl" w:eastAsia="es-ES"/>
        </w:rPr>
      </w:pPr>
    </w:p>
    <w:p w14:paraId="795402A6" w14:textId="24578393" w:rsidR="004B5ECB" w:rsidRPr="003C573D" w:rsidRDefault="004B5ECB" w:rsidP="00F67E9D">
      <w:pPr>
        <w:widowControl w:val="0"/>
        <w:spacing w:line="360" w:lineRule="auto"/>
        <w:ind w:firstLine="708"/>
        <w:jc w:val="both"/>
        <w:rPr>
          <w:rFonts w:ascii="Bookman Old Style" w:hAnsi="Bookman Old Style"/>
          <w:sz w:val="28"/>
          <w:szCs w:val="28"/>
        </w:rPr>
      </w:pPr>
      <w:r w:rsidRPr="003C573D">
        <w:rPr>
          <w:rFonts w:ascii="Bookman Old Style" w:hAnsi="Bookman Old Style"/>
          <w:sz w:val="28"/>
          <w:szCs w:val="28"/>
        </w:rPr>
        <w:t xml:space="preserve">Fecha </w:t>
      </w:r>
      <w:r w:rsidRPr="003C573D">
        <w:rPr>
          <w:rFonts w:ascii="Bookman Old Style" w:hAnsi="Bookman Old Style"/>
          <w:i/>
          <w:iCs/>
          <w:sz w:val="28"/>
          <w:szCs w:val="28"/>
        </w:rPr>
        <w:t>ut supra</w:t>
      </w:r>
      <w:r w:rsidR="00F67E9D">
        <w:rPr>
          <w:rFonts w:ascii="Bookman Old Style" w:hAnsi="Bookman Old Style"/>
          <w:sz w:val="28"/>
          <w:szCs w:val="28"/>
        </w:rPr>
        <w:t>.</w:t>
      </w:r>
    </w:p>
    <w:p w14:paraId="26F693D7" w14:textId="77777777" w:rsidR="004B5ECB" w:rsidRPr="003C573D" w:rsidRDefault="004B5ECB" w:rsidP="00F67E9D">
      <w:pPr>
        <w:widowControl w:val="0"/>
        <w:spacing w:after="0" w:line="360" w:lineRule="auto"/>
        <w:jc w:val="center"/>
        <w:rPr>
          <w:rFonts w:ascii="Bookman Old Style" w:hAnsi="Bookman Old Style" w:cs="Arial"/>
          <w:b/>
          <w:sz w:val="28"/>
          <w:szCs w:val="28"/>
        </w:rPr>
      </w:pPr>
      <w:r w:rsidRPr="003C573D">
        <w:rPr>
          <w:rFonts w:ascii="Bookman Old Style" w:hAnsi="Bookman Old Style" w:cs="Arial"/>
          <w:b/>
          <w:sz w:val="28"/>
          <w:szCs w:val="28"/>
        </w:rPr>
        <w:t>AROLDO WILSON QUIROZ MONSALVO</w:t>
      </w:r>
    </w:p>
    <w:p w14:paraId="780EC66A" w14:textId="0D2B0EC8" w:rsidR="004B5ECB" w:rsidRDefault="004B5ECB" w:rsidP="00F67E9D">
      <w:pPr>
        <w:widowControl w:val="0"/>
        <w:spacing w:after="0" w:line="360" w:lineRule="auto"/>
        <w:jc w:val="center"/>
      </w:pPr>
      <w:r w:rsidRPr="003C573D">
        <w:rPr>
          <w:rFonts w:ascii="Bookman Old Style" w:hAnsi="Bookman Old Style" w:cs="Arial"/>
          <w:sz w:val="28"/>
          <w:szCs w:val="28"/>
        </w:rPr>
        <w:t>Magistrado</w:t>
      </w:r>
    </w:p>
    <w:p w14:paraId="0DB47588" w14:textId="77777777" w:rsidR="004B5ECB" w:rsidRPr="008B6EBB" w:rsidRDefault="004B5ECB" w:rsidP="00F92684">
      <w:pPr>
        <w:spacing w:after="0" w:line="360" w:lineRule="auto"/>
        <w:ind w:firstLine="709"/>
        <w:jc w:val="center"/>
        <w:rPr>
          <w:rFonts w:ascii="Bookman Old Style" w:hAnsi="Bookman Old Style"/>
          <w:b/>
          <w:color w:val="000000" w:themeColor="text1"/>
          <w:spacing w:val="-3"/>
          <w:sz w:val="28"/>
          <w:szCs w:val="28"/>
        </w:rPr>
      </w:pPr>
    </w:p>
    <w:sectPr w:rsidR="004B5ECB" w:rsidRPr="008B6EBB" w:rsidSect="00540E42">
      <w:headerReference w:type="default" r:id="rId8"/>
      <w:footerReference w:type="default" r:id="rId9"/>
      <w:headerReference w:type="first" r:id="rId10"/>
      <w:pgSz w:w="12242" w:h="18722" w:code="14"/>
      <w:pgMar w:top="2268" w:right="1701" w:bottom="1701" w:left="2268" w:header="72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D61F3" w14:textId="77777777" w:rsidR="00B26022" w:rsidRDefault="00B26022" w:rsidP="003355C9">
      <w:pPr>
        <w:spacing w:after="0" w:line="240" w:lineRule="auto"/>
      </w:pPr>
      <w:r>
        <w:separator/>
      </w:r>
    </w:p>
  </w:endnote>
  <w:endnote w:type="continuationSeparator" w:id="0">
    <w:p w14:paraId="6B13F078" w14:textId="77777777" w:rsidR="00B26022" w:rsidRDefault="00B26022" w:rsidP="0033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helleyVolante BT">
    <w:altName w:val="Courier New"/>
    <w:charset w:val="00"/>
    <w:family w:val="script"/>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Estrangelo Edessa">
    <w:panose1 w:val="00000000000000000000"/>
    <w:charset w:val="00"/>
    <w:family w:val="script"/>
    <w:pitch w:val="variable"/>
    <w:sig w:usb0="80002043" w:usb1="00000000" w:usb2="00000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auto"/>
    <w:pitch w:val="variable"/>
    <w:sig w:usb0="00000003" w:usb1="00000000" w:usb2="00000000" w:usb3="00000000" w:csb0="00000003"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DACC" w14:textId="77777777" w:rsidR="004C4004" w:rsidRDefault="004C4004">
    <w:pPr>
      <w:pStyle w:val="Piedepgina"/>
      <w:jc w:val="right"/>
    </w:pPr>
    <w:r>
      <w:fldChar w:fldCharType="begin"/>
    </w:r>
    <w:r>
      <w:instrText>PAGE   \* MERGEFORMAT</w:instrText>
    </w:r>
    <w:r>
      <w:fldChar w:fldCharType="separate"/>
    </w:r>
    <w:r w:rsidR="00004B9A" w:rsidRPr="00004B9A">
      <w:rPr>
        <w:noProof/>
        <w:lang w:val="es-ES"/>
      </w:rPr>
      <w:t>39</w:t>
    </w:r>
    <w:r>
      <w:fldChar w:fldCharType="end"/>
    </w:r>
  </w:p>
  <w:p w14:paraId="13D8BED8" w14:textId="77777777" w:rsidR="004C4004" w:rsidRPr="00B372DD" w:rsidRDefault="004C4004" w:rsidP="00B372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57661" w14:textId="77777777" w:rsidR="00B26022" w:rsidRDefault="00B26022" w:rsidP="003355C9">
      <w:pPr>
        <w:spacing w:after="0" w:line="240" w:lineRule="auto"/>
      </w:pPr>
      <w:r>
        <w:separator/>
      </w:r>
    </w:p>
  </w:footnote>
  <w:footnote w:type="continuationSeparator" w:id="0">
    <w:p w14:paraId="7734448D" w14:textId="77777777" w:rsidR="00B26022" w:rsidRDefault="00B26022" w:rsidP="003355C9">
      <w:pPr>
        <w:spacing w:after="0" w:line="240" w:lineRule="auto"/>
      </w:pPr>
      <w:r>
        <w:continuationSeparator/>
      </w:r>
    </w:p>
  </w:footnote>
  <w:footnote w:id="1">
    <w:p w14:paraId="2D0E2207" w14:textId="77777777" w:rsidR="009566AD" w:rsidRPr="005F0598" w:rsidRDefault="009566AD"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CSJ SC 053 de 1997, Rad. 4850, reiterada en SC 16426-2015.</w:t>
      </w:r>
    </w:p>
  </w:footnote>
  <w:footnote w:id="2">
    <w:p w14:paraId="123C3598" w14:textId="77777777" w:rsidR="009566AD" w:rsidRPr="005F0598" w:rsidRDefault="009566AD"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CSJ SC 8210-2016.</w:t>
      </w:r>
    </w:p>
  </w:footnote>
  <w:footnote w:id="3">
    <w:p w14:paraId="117FF052" w14:textId="3332A632" w:rsidR="009566AD" w:rsidRPr="005F0598" w:rsidRDefault="009566AD" w:rsidP="005F0598">
      <w:pPr>
        <w:pStyle w:val="Sinespaciado"/>
        <w:jc w:val="both"/>
        <w:rPr>
          <w:rFonts w:ascii="Bookman Old Style" w:hAnsi="Bookman Old Style"/>
          <w:sz w:val="18"/>
          <w:szCs w:val="18"/>
        </w:rPr>
      </w:pPr>
      <w:r w:rsidRPr="00F4096D">
        <w:rPr>
          <w:rStyle w:val="Refdenotaalpie"/>
          <w:rFonts w:ascii="Bookman Old Style" w:hAnsi="Bookman Old Style"/>
          <w:sz w:val="18"/>
          <w:szCs w:val="18"/>
        </w:rPr>
        <w:footnoteRef/>
      </w:r>
      <w:r w:rsidRPr="00F4096D">
        <w:rPr>
          <w:rFonts w:ascii="Bookman Old Style" w:hAnsi="Bookman Old Style"/>
          <w:sz w:val="18"/>
          <w:szCs w:val="18"/>
        </w:rPr>
        <w:t xml:space="preserve"> CSJ</w:t>
      </w:r>
      <w:r w:rsidR="00F91996" w:rsidRPr="00F4096D">
        <w:rPr>
          <w:rFonts w:ascii="Bookman Old Style" w:hAnsi="Bookman Old Style"/>
          <w:sz w:val="18"/>
          <w:szCs w:val="18"/>
        </w:rPr>
        <w:t xml:space="preserve"> </w:t>
      </w:r>
      <w:r w:rsidRPr="00F4096D">
        <w:rPr>
          <w:rFonts w:ascii="Bookman Old Style" w:hAnsi="Bookman Old Style"/>
          <w:sz w:val="18"/>
          <w:szCs w:val="18"/>
        </w:rPr>
        <w:t xml:space="preserve">SC </w:t>
      </w:r>
      <w:r w:rsidRPr="005F0598">
        <w:rPr>
          <w:rFonts w:ascii="Bookman Old Style" w:hAnsi="Bookman Old Style"/>
          <w:sz w:val="18"/>
          <w:szCs w:val="18"/>
        </w:rPr>
        <w:t>3271-2020.</w:t>
      </w:r>
    </w:p>
  </w:footnote>
  <w:footnote w:id="4">
    <w:p w14:paraId="0AFA0CD0" w14:textId="6B93B60D" w:rsidR="000529C8" w:rsidRPr="005F0598" w:rsidRDefault="00EF3289" w:rsidP="005F0598">
      <w:pPr>
        <w:pStyle w:val="Sinespaciado"/>
        <w:jc w:val="both"/>
        <w:rPr>
          <w:rFonts w:ascii="Bookman Old Style" w:hAnsi="Bookman Old Style" w:cs="Arial"/>
          <w:bCs/>
          <w:sz w:val="18"/>
          <w:szCs w:val="18"/>
          <w:lang w:val="es-ES_tradnl"/>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CSJ</w:t>
      </w:r>
      <w:r w:rsidRPr="005F0598">
        <w:rPr>
          <w:rFonts w:ascii="Bookman Old Style" w:hAnsi="Bookman Old Style" w:cs="Arial"/>
          <w:bCs/>
          <w:sz w:val="18"/>
          <w:szCs w:val="18"/>
          <w:lang w:val="es-ES_tradnl"/>
        </w:rPr>
        <w:t>SC845-2022, SC2507-2022.</w:t>
      </w:r>
      <w:r w:rsidR="00F6053D" w:rsidRPr="005F0598">
        <w:rPr>
          <w:rFonts w:ascii="Bookman Old Style" w:hAnsi="Bookman Old Style" w:cs="Arial"/>
          <w:bCs/>
          <w:sz w:val="18"/>
          <w:szCs w:val="18"/>
          <w:lang w:val="es-ES_tradnl"/>
        </w:rPr>
        <w:t xml:space="preserve"> Pronunciamiento que derivan de la sentencia C-443 del 2019, proferida por la Corte Constitucional, en la cual se declaró</w:t>
      </w:r>
      <w:r w:rsidR="00F6053D" w:rsidRPr="005F0598">
        <w:rPr>
          <w:rFonts w:ascii="Bookman Old Style" w:hAnsi="Bookman Old Style"/>
          <w:b/>
          <w:bCs/>
          <w:color w:val="2D2D2D"/>
          <w:sz w:val="18"/>
          <w:szCs w:val="18"/>
          <w:shd w:val="clear" w:color="auto" w:fill="FFFFFF"/>
        </w:rPr>
        <w:t xml:space="preserve"> </w:t>
      </w:r>
      <w:r w:rsidR="00F6053D" w:rsidRPr="005F0598">
        <w:rPr>
          <w:rFonts w:ascii="Bookman Old Style" w:eastAsia="Times New Roman" w:hAnsi="Bookman Old Style"/>
          <w:i/>
          <w:iCs/>
          <w:sz w:val="18"/>
          <w:szCs w:val="18"/>
          <w:lang w:val="es-MX" w:eastAsia="es-ES"/>
        </w:rPr>
        <w:t>«LA INEXEQUIBILIDAD de la expresión “de pleno derecho” contenida en el inciso 6 del artículo 121 del Código General del Proceso, y la EXEQUIBILIDAD CONDICIONADA del resto de este inciso, en el entendido de que la nulidad allí prevista debe ser alegada antes de proferirse la sentencia, y de que es saneable en los términos de los artículos 132 y subsiguientes del Código General del Proceso».</w:t>
      </w:r>
    </w:p>
  </w:footnote>
  <w:footnote w:id="5">
    <w:p w14:paraId="2FA11A0D" w14:textId="12261492" w:rsidR="000529C8" w:rsidRPr="005F0598" w:rsidRDefault="000529C8" w:rsidP="005F0598">
      <w:pPr>
        <w:pStyle w:val="Sinespaciado"/>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STC12660-2019</w:t>
      </w:r>
      <w:r w:rsidR="003A6BAE" w:rsidRPr="005F0598">
        <w:rPr>
          <w:rFonts w:ascii="Bookman Old Style" w:hAnsi="Bookman Old Style"/>
          <w:sz w:val="18"/>
          <w:szCs w:val="18"/>
        </w:rPr>
        <w:t>.</w:t>
      </w:r>
    </w:p>
  </w:footnote>
  <w:footnote w:id="6">
    <w:p w14:paraId="164D7456" w14:textId="29E8FFEF" w:rsidR="003A6BAE" w:rsidRPr="005F0598" w:rsidRDefault="003A6BAE"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00B76175" w:rsidRPr="005F0598">
        <w:rPr>
          <w:rFonts w:ascii="Bookman Old Style" w:hAnsi="Bookman Old Style"/>
          <w:i/>
          <w:iCs/>
          <w:sz w:val="18"/>
          <w:szCs w:val="18"/>
        </w:rPr>
        <w:t>E</w:t>
      </w:r>
      <w:r w:rsidRPr="005F0598">
        <w:rPr>
          <w:rFonts w:ascii="Bookman Old Style" w:hAnsi="Bookman Old Style"/>
          <w:i/>
          <w:iCs/>
          <w:sz w:val="18"/>
          <w:szCs w:val="18"/>
        </w:rPr>
        <w:t>jusdem</w:t>
      </w:r>
      <w:r w:rsidR="00B76175" w:rsidRPr="005F0598">
        <w:rPr>
          <w:rFonts w:ascii="Bookman Old Style" w:hAnsi="Bookman Old Style"/>
          <w:i/>
          <w:iCs/>
          <w:sz w:val="18"/>
          <w:szCs w:val="18"/>
        </w:rPr>
        <w:t>.</w:t>
      </w:r>
    </w:p>
  </w:footnote>
  <w:footnote w:id="7">
    <w:p w14:paraId="5AA88B0A" w14:textId="7C4F7300" w:rsidR="006F1537" w:rsidRPr="005F0598" w:rsidRDefault="006F1537"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006F5D11" w:rsidRPr="005F0598">
        <w:rPr>
          <w:rFonts w:ascii="Bookman Old Style" w:hAnsi="Bookman Old Style"/>
          <w:sz w:val="18"/>
          <w:szCs w:val="18"/>
        </w:rPr>
        <w:t xml:space="preserve">CSJ, </w:t>
      </w:r>
      <w:r w:rsidRPr="005F0598">
        <w:rPr>
          <w:rFonts w:ascii="Bookman Old Style" w:hAnsi="Bookman Old Style"/>
          <w:sz w:val="18"/>
          <w:szCs w:val="18"/>
        </w:rPr>
        <w:t>SC</w:t>
      </w:r>
      <w:r w:rsidR="006F5D11" w:rsidRPr="005F0598">
        <w:rPr>
          <w:rFonts w:ascii="Bookman Old Style" w:hAnsi="Bookman Old Style"/>
          <w:sz w:val="18"/>
          <w:szCs w:val="18"/>
        </w:rPr>
        <w:t>,</w:t>
      </w:r>
      <w:r w:rsidRPr="005F0598">
        <w:rPr>
          <w:rFonts w:ascii="Bookman Old Style" w:hAnsi="Bookman Old Style"/>
          <w:sz w:val="18"/>
          <w:szCs w:val="18"/>
        </w:rPr>
        <w:t xml:space="preserve"> STC 12660-2019.</w:t>
      </w:r>
    </w:p>
  </w:footnote>
  <w:footnote w:id="8">
    <w:p w14:paraId="4E0A65E8" w14:textId="023F6A5E"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78 del Cuaderno 1. </w:t>
      </w:r>
    </w:p>
  </w:footnote>
  <w:footnote w:id="9">
    <w:p w14:paraId="7FF45BDB" w14:textId="0CD3980D"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w:t>
      </w:r>
      <w:r w:rsidR="00FE6E9E" w:rsidRPr="005F0598">
        <w:rPr>
          <w:rFonts w:ascii="Bookman Old Style" w:hAnsi="Bookman Old Style"/>
          <w:sz w:val="18"/>
          <w:szCs w:val="18"/>
          <w:lang w:val="es-CO"/>
        </w:rPr>
        <w:t>82</w:t>
      </w:r>
      <w:r w:rsidRPr="005F0598">
        <w:rPr>
          <w:rFonts w:ascii="Bookman Old Style" w:hAnsi="Bookman Old Style"/>
          <w:sz w:val="18"/>
          <w:szCs w:val="18"/>
          <w:lang w:val="es-CO"/>
        </w:rPr>
        <w:t xml:space="preserve"> del Cuaderno 1.</w:t>
      </w:r>
    </w:p>
  </w:footnote>
  <w:footnote w:id="10">
    <w:p w14:paraId="5C74D3F2" w14:textId="4FFEA0F9"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Transcurrieron </w:t>
      </w:r>
      <w:r w:rsidR="00E559C3" w:rsidRPr="005F0598">
        <w:rPr>
          <w:rFonts w:ascii="Bookman Old Style" w:hAnsi="Bookman Old Style"/>
          <w:sz w:val="18"/>
          <w:szCs w:val="18"/>
          <w:lang w:val="es-CO"/>
        </w:rPr>
        <w:t>24</w:t>
      </w:r>
      <w:r w:rsidRPr="005F0598">
        <w:rPr>
          <w:rFonts w:ascii="Bookman Old Style" w:hAnsi="Bookman Old Style"/>
          <w:sz w:val="18"/>
          <w:szCs w:val="18"/>
          <w:lang w:val="es-CO"/>
        </w:rPr>
        <w:t xml:space="preserve"> días hábiles.</w:t>
      </w:r>
    </w:p>
  </w:footnote>
  <w:footnote w:id="11">
    <w:p w14:paraId="08F3E0A1" w14:textId="77777777" w:rsidR="00F36F20" w:rsidRPr="005F0598" w:rsidRDefault="00F36F20"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Folio 26 del Cuaderno 1.</w:t>
      </w:r>
    </w:p>
  </w:footnote>
  <w:footnote w:id="12">
    <w:p w14:paraId="0EFD41AE" w14:textId="0311E987"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w:t>
      </w:r>
      <w:r w:rsidR="00AD6C2A" w:rsidRPr="005F0598">
        <w:rPr>
          <w:rFonts w:ascii="Bookman Old Style" w:hAnsi="Bookman Old Style"/>
          <w:sz w:val="18"/>
          <w:szCs w:val="18"/>
          <w:lang w:val="es-CO"/>
        </w:rPr>
        <w:t>154</w:t>
      </w:r>
      <w:r w:rsidRPr="005F0598">
        <w:rPr>
          <w:rFonts w:ascii="Bookman Old Style" w:hAnsi="Bookman Old Style"/>
          <w:sz w:val="18"/>
          <w:szCs w:val="18"/>
          <w:lang w:val="es-CO"/>
        </w:rPr>
        <w:t>-</w:t>
      </w:r>
      <w:r w:rsidR="00AD6C2A" w:rsidRPr="005F0598">
        <w:rPr>
          <w:rFonts w:ascii="Bookman Old Style" w:hAnsi="Bookman Old Style"/>
          <w:sz w:val="18"/>
          <w:szCs w:val="18"/>
          <w:lang w:val="es-CO"/>
        </w:rPr>
        <w:t>178</w:t>
      </w:r>
      <w:r w:rsidRPr="005F0598">
        <w:rPr>
          <w:rFonts w:ascii="Bookman Old Style" w:hAnsi="Bookman Old Style"/>
          <w:sz w:val="18"/>
          <w:szCs w:val="18"/>
          <w:lang w:val="es-CO"/>
        </w:rPr>
        <w:t xml:space="preserve"> del Cuaderno 1.</w:t>
      </w:r>
    </w:p>
  </w:footnote>
  <w:footnote w:id="13">
    <w:p w14:paraId="24CD64BD" w14:textId="3FB7B8E1"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w:t>
      </w:r>
      <w:r w:rsidR="00AD6C2A" w:rsidRPr="005F0598">
        <w:rPr>
          <w:rFonts w:ascii="Bookman Old Style" w:hAnsi="Bookman Old Style"/>
          <w:sz w:val="18"/>
          <w:szCs w:val="18"/>
          <w:lang w:val="es-CO"/>
        </w:rPr>
        <w:t>185- 189</w:t>
      </w:r>
      <w:r w:rsidRPr="005F0598">
        <w:rPr>
          <w:rFonts w:ascii="Bookman Old Style" w:hAnsi="Bookman Old Style"/>
          <w:sz w:val="18"/>
          <w:szCs w:val="18"/>
          <w:lang w:val="es-CO"/>
        </w:rPr>
        <w:t xml:space="preserve"> del Cuaderno 1.</w:t>
      </w:r>
    </w:p>
  </w:footnote>
  <w:footnote w:id="14">
    <w:p w14:paraId="40919E23" w14:textId="201FEA7A" w:rsidR="0004584F" w:rsidRPr="005F0598" w:rsidRDefault="0004584F"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191 del cuaderno 1. </w:t>
      </w:r>
    </w:p>
  </w:footnote>
  <w:footnote w:id="15">
    <w:p w14:paraId="3645AE66" w14:textId="5E1474CA" w:rsidR="00ED5120" w:rsidRPr="005F0598" w:rsidRDefault="00ED5120"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227 del cuaderno 1.</w:t>
      </w:r>
    </w:p>
  </w:footnote>
  <w:footnote w:id="16">
    <w:p w14:paraId="05540DFC" w14:textId="2BBBC50D" w:rsidR="00E559C3" w:rsidRPr="005F0598" w:rsidRDefault="00E559C3"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Folio 1 del Cuaderno 2.</w:t>
      </w:r>
    </w:p>
  </w:footnote>
  <w:footnote w:id="17">
    <w:p w14:paraId="507F0100" w14:textId="7C042DC2" w:rsidR="00ED5120" w:rsidRPr="005F0598" w:rsidRDefault="00ED5120"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3 del </w:t>
      </w:r>
      <w:r w:rsidR="00E559C3" w:rsidRPr="005F0598">
        <w:rPr>
          <w:rFonts w:ascii="Bookman Old Style" w:hAnsi="Bookman Old Style"/>
          <w:sz w:val="18"/>
          <w:szCs w:val="18"/>
        </w:rPr>
        <w:t>C</w:t>
      </w:r>
      <w:r w:rsidRPr="005F0598">
        <w:rPr>
          <w:rFonts w:ascii="Bookman Old Style" w:hAnsi="Bookman Old Style"/>
          <w:sz w:val="18"/>
          <w:szCs w:val="18"/>
        </w:rPr>
        <w:t>uaderno 2</w:t>
      </w:r>
    </w:p>
  </w:footnote>
  <w:footnote w:id="18">
    <w:p w14:paraId="2C61C502" w14:textId="384C8054"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w:t>
      </w:r>
      <w:r w:rsidR="00D23D95" w:rsidRPr="005F0598">
        <w:rPr>
          <w:rFonts w:ascii="Bookman Old Style" w:hAnsi="Bookman Old Style"/>
          <w:sz w:val="18"/>
          <w:szCs w:val="18"/>
          <w:lang w:val="es-CO"/>
        </w:rPr>
        <w:t>5</w:t>
      </w:r>
      <w:r w:rsidRPr="005F0598">
        <w:rPr>
          <w:rFonts w:ascii="Bookman Old Style" w:hAnsi="Bookman Old Style"/>
          <w:sz w:val="18"/>
          <w:szCs w:val="18"/>
          <w:lang w:val="es-CO"/>
        </w:rPr>
        <w:t xml:space="preserve"> del Cuaderno </w:t>
      </w:r>
      <w:r w:rsidR="00D23D95" w:rsidRPr="005F0598">
        <w:rPr>
          <w:rFonts w:ascii="Bookman Old Style" w:hAnsi="Bookman Old Style"/>
          <w:sz w:val="18"/>
          <w:szCs w:val="18"/>
          <w:lang w:val="es-CO"/>
        </w:rPr>
        <w:t>2</w:t>
      </w:r>
      <w:r w:rsidRPr="005F0598">
        <w:rPr>
          <w:rFonts w:ascii="Bookman Old Style" w:hAnsi="Bookman Old Style"/>
          <w:sz w:val="18"/>
          <w:szCs w:val="18"/>
          <w:lang w:val="es-CO"/>
        </w:rPr>
        <w:t>.</w:t>
      </w:r>
    </w:p>
  </w:footnote>
  <w:footnote w:id="19">
    <w:p w14:paraId="3DCFAAE7" w14:textId="3E4ABB85" w:rsidR="00F36F20" w:rsidRPr="005F0598" w:rsidRDefault="00F36F20"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 7 del Cuaderno </w:t>
      </w:r>
      <w:r w:rsidR="00D23D95" w:rsidRPr="005F0598">
        <w:rPr>
          <w:rFonts w:ascii="Bookman Old Style" w:hAnsi="Bookman Old Style"/>
          <w:sz w:val="18"/>
          <w:szCs w:val="18"/>
          <w:lang w:val="es-CO"/>
        </w:rPr>
        <w:t>2</w:t>
      </w:r>
      <w:r w:rsidRPr="005F0598">
        <w:rPr>
          <w:rFonts w:ascii="Bookman Old Style" w:hAnsi="Bookman Old Style"/>
          <w:sz w:val="18"/>
          <w:szCs w:val="18"/>
          <w:lang w:val="es-CO"/>
        </w:rPr>
        <w:t>.</w:t>
      </w:r>
    </w:p>
  </w:footnote>
  <w:footnote w:id="20">
    <w:p w14:paraId="4E63F074" w14:textId="77777777" w:rsidR="007704EA" w:rsidRPr="005F0598" w:rsidRDefault="007704EA"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Folio 8 del Cuaderno 2.</w:t>
      </w:r>
    </w:p>
  </w:footnote>
  <w:footnote w:id="21">
    <w:p w14:paraId="3E19825A" w14:textId="1451B9C4" w:rsidR="002401DA" w:rsidRPr="005F0598" w:rsidRDefault="002401DA"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1</w:t>
      </w:r>
      <w:r w:rsidR="00C6365B" w:rsidRPr="005F0598">
        <w:rPr>
          <w:rFonts w:ascii="Bookman Old Style" w:hAnsi="Bookman Old Style"/>
          <w:sz w:val="18"/>
          <w:szCs w:val="18"/>
        </w:rPr>
        <w:t>5</w:t>
      </w:r>
      <w:r w:rsidRPr="005F0598">
        <w:rPr>
          <w:rFonts w:ascii="Bookman Old Style" w:hAnsi="Bookman Old Style"/>
          <w:sz w:val="18"/>
          <w:szCs w:val="18"/>
        </w:rPr>
        <w:t xml:space="preserve">-23 del </w:t>
      </w:r>
      <w:r w:rsidR="00C6365B" w:rsidRPr="005F0598">
        <w:rPr>
          <w:rFonts w:ascii="Bookman Old Style" w:hAnsi="Bookman Old Style"/>
          <w:sz w:val="18"/>
          <w:szCs w:val="18"/>
        </w:rPr>
        <w:t>C</w:t>
      </w:r>
      <w:r w:rsidRPr="005F0598">
        <w:rPr>
          <w:rFonts w:ascii="Bookman Old Style" w:hAnsi="Bookman Old Style"/>
          <w:sz w:val="18"/>
          <w:szCs w:val="18"/>
        </w:rPr>
        <w:t>uader</w:t>
      </w:r>
      <w:r w:rsidR="00FB5B89" w:rsidRPr="005F0598">
        <w:rPr>
          <w:rFonts w:ascii="Bookman Old Style" w:hAnsi="Bookman Old Style"/>
          <w:sz w:val="18"/>
          <w:szCs w:val="18"/>
        </w:rPr>
        <w:t xml:space="preserve">no </w:t>
      </w:r>
      <w:r w:rsidR="00C6365B" w:rsidRPr="005F0598">
        <w:rPr>
          <w:rFonts w:ascii="Bookman Old Style" w:hAnsi="Bookman Old Style"/>
          <w:sz w:val="18"/>
          <w:szCs w:val="18"/>
        </w:rPr>
        <w:t>2.</w:t>
      </w:r>
    </w:p>
  </w:footnote>
  <w:footnote w:id="22">
    <w:p w14:paraId="11AB3013" w14:textId="4B605E31" w:rsidR="006F1537" w:rsidRPr="005F0598" w:rsidRDefault="006F1537" w:rsidP="005F0598">
      <w:pPr>
        <w:pStyle w:val="NormalWeb"/>
        <w:spacing w:before="0" w:beforeAutospacing="0" w:after="0" w:afterAutospacing="0"/>
        <w:jc w:val="both"/>
        <w:rPr>
          <w:rFonts w:ascii="Bookman Old Style" w:hAnsi="Bookman Old Style"/>
          <w:sz w:val="18"/>
          <w:szCs w:val="18"/>
          <w:lang w:eastAsia="es-MX"/>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G.J., tomo LXXV (…) </w:t>
      </w:r>
      <w:r w:rsidRPr="005F0598">
        <w:rPr>
          <w:rFonts w:ascii="Bookman Old Style" w:hAnsi="Bookman Old Style"/>
          <w:sz w:val="18"/>
          <w:szCs w:val="18"/>
          <w:lang w:eastAsia="es-MX"/>
        </w:rPr>
        <w:t xml:space="preserve">"Sanear la nulidad" quiere decir, como se comprende, aplicar cualquier remedio indicado por la ley para curar ese vicio jurídico: ya el de la ratificación, cuando procede </w:t>
      </w:r>
      <w:r w:rsidRPr="005F0598">
        <w:rPr>
          <w:rFonts w:ascii="Bookman Old Style" w:hAnsi="Bookman Old Style"/>
          <w:sz w:val="18"/>
          <w:szCs w:val="18"/>
          <w:u w:val="single"/>
          <w:lang w:eastAsia="es-MX"/>
        </w:rPr>
        <w:t>ya el de la declaración judicial sobre su existencia o inexistencia</w:t>
      </w:r>
      <w:r w:rsidRPr="005F0598">
        <w:rPr>
          <w:rFonts w:ascii="Bookman Old Style" w:hAnsi="Bookman Old Style"/>
          <w:sz w:val="18"/>
          <w:szCs w:val="18"/>
          <w:lang w:eastAsia="es-MX"/>
        </w:rPr>
        <w:t xml:space="preserve">. Por este aspecto, y como lo explicaron los redactores del proyecto de reforma judicial, el fin del motivo 4° del artículo 520 del C. J., </w:t>
      </w:r>
      <w:r w:rsidRPr="005F0598">
        <w:rPr>
          <w:rFonts w:ascii="Bookman Old Style" w:hAnsi="Bookman Old Style"/>
          <w:sz w:val="18"/>
          <w:szCs w:val="18"/>
          <w:u w:val="single"/>
          <w:lang w:eastAsia="es-MX"/>
        </w:rPr>
        <w:t>no fue otro que el de "asegurar la estabilidad de la cosa juzgada</w:t>
      </w:r>
      <w:r w:rsidRPr="005F0598">
        <w:rPr>
          <w:rFonts w:ascii="Bookman Old Style" w:hAnsi="Bookman Old Style"/>
          <w:sz w:val="18"/>
          <w:szCs w:val="18"/>
          <w:lang w:eastAsia="es-MX"/>
        </w:rPr>
        <w:t xml:space="preserve">, </w:t>
      </w:r>
      <w:r w:rsidRPr="005F0598">
        <w:rPr>
          <w:rFonts w:ascii="Bookman Old Style" w:hAnsi="Bookman Old Style"/>
          <w:i/>
          <w:iCs/>
          <w:sz w:val="18"/>
          <w:szCs w:val="18"/>
          <w:lang w:eastAsia="es-MX"/>
        </w:rPr>
        <w:t>cuando hay faltas que subsanar</w:t>
      </w:r>
      <w:r w:rsidRPr="005F0598">
        <w:rPr>
          <w:rFonts w:ascii="Bookman Old Style" w:hAnsi="Bookman Old Style"/>
          <w:sz w:val="18"/>
          <w:szCs w:val="18"/>
          <w:lang w:eastAsia="es-MX"/>
        </w:rPr>
        <w:t xml:space="preserve"> (se subraya, porque esto supone que la cuestión no ha sido tocada y está pendiente)</w:t>
      </w:r>
      <w:r w:rsidR="00EF1AA4" w:rsidRPr="00216231">
        <w:rPr>
          <w:rFonts w:ascii="Bookman Old Style" w:hAnsi="Bookman Old Style"/>
          <w:sz w:val="18"/>
          <w:szCs w:val="18"/>
          <w:lang w:eastAsia="es-MX"/>
        </w:rPr>
        <w:t>.</w:t>
      </w:r>
    </w:p>
  </w:footnote>
  <w:footnote w:id="23">
    <w:p w14:paraId="30C22FA9" w14:textId="23897E52" w:rsidR="00241DD8" w:rsidRPr="005F0598" w:rsidRDefault="00241DD8" w:rsidP="005F0598">
      <w:pPr>
        <w:spacing w:after="0" w:line="360" w:lineRule="auto"/>
        <w:jc w:val="both"/>
        <w:rPr>
          <w:rFonts w:ascii="Bookman Old Style" w:hAnsi="Bookman Old Style"/>
          <w:iCs/>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iCs/>
          <w:sz w:val="18"/>
          <w:szCs w:val="18"/>
        </w:rPr>
        <w:t xml:space="preserve">CSJ </w:t>
      </w:r>
      <w:r w:rsidRPr="005F0598">
        <w:rPr>
          <w:rFonts w:ascii="Bookman Old Style" w:hAnsi="Bookman Old Style"/>
          <w:sz w:val="18"/>
          <w:szCs w:val="18"/>
        </w:rPr>
        <w:t xml:space="preserve">SC 3712-2021, reiterada en </w:t>
      </w:r>
      <w:r w:rsidRPr="005F0598">
        <w:rPr>
          <w:rFonts w:ascii="Bookman Old Style" w:hAnsi="Bookman Old Style"/>
          <w:iCs/>
          <w:sz w:val="18"/>
          <w:szCs w:val="18"/>
        </w:rPr>
        <w:t xml:space="preserve">SC845-2022 del 25 mayo. </w:t>
      </w:r>
    </w:p>
    <w:p w14:paraId="14119AFD" w14:textId="24AB2B2E" w:rsidR="00241DD8" w:rsidRPr="005F0598" w:rsidRDefault="00241DD8" w:rsidP="005F0598">
      <w:pPr>
        <w:pStyle w:val="Textonotapie"/>
        <w:jc w:val="both"/>
        <w:rPr>
          <w:rFonts w:ascii="Bookman Old Style" w:hAnsi="Bookman Old Style"/>
          <w:sz w:val="18"/>
          <w:szCs w:val="18"/>
          <w:lang w:val="es-CO"/>
        </w:rPr>
      </w:pPr>
    </w:p>
  </w:footnote>
  <w:footnote w:id="24">
    <w:p w14:paraId="3337E570" w14:textId="7CD6F233" w:rsidR="00B4373B" w:rsidRPr="005F0598" w:rsidRDefault="00B4373B"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bCs/>
          <w:sz w:val="18"/>
          <w:szCs w:val="18"/>
        </w:rPr>
        <w:t>Hernando Morales Molina. Curso de Derecho Procesal Civil. Parte General, Novena Edición. (Editorial ABC, 1985), Bogotá. Pg. 480.</w:t>
      </w:r>
    </w:p>
  </w:footnote>
  <w:footnote w:id="25">
    <w:p w14:paraId="7804D158" w14:textId="537F6101" w:rsidR="002F4F61" w:rsidRPr="005F0598" w:rsidRDefault="002F4F61"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Minuto 2:32 del audio «</w:t>
      </w:r>
      <w:r w:rsidRPr="005F0598">
        <w:rPr>
          <w:rFonts w:ascii="Bookman Old Style" w:hAnsi="Bookman Old Style"/>
          <w:i/>
          <w:iCs/>
          <w:sz w:val="18"/>
          <w:szCs w:val="18"/>
        </w:rPr>
        <w:t>CP_1019150033379</w:t>
      </w:r>
      <w:r w:rsidRPr="005F0598">
        <w:rPr>
          <w:rFonts w:ascii="Bookman Old Style" w:hAnsi="Bookman Old Style"/>
          <w:sz w:val="18"/>
          <w:szCs w:val="18"/>
        </w:rPr>
        <w:t>».</w:t>
      </w:r>
    </w:p>
  </w:footnote>
  <w:footnote w:id="26">
    <w:p w14:paraId="524737E0" w14:textId="77777777" w:rsidR="006747AE" w:rsidRPr="005F0598" w:rsidRDefault="006747AE"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MX"/>
        </w:rPr>
        <w:t>Sentencia de 15 de septiembre de 1998, expediente 5075.</w:t>
      </w:r>
    </w:p>
  </w:footnote>
  <w:footnote w:id="27">
    <w:p w14:paraId="16EFC639" w14:textId="77777777" w:rsidR="00F93BAA" w:rsidRPr="005F0598" w:rsidRDefault="00F93BAA"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C.S.J- Sala de casación Civil, Sentencia de 16 de agosto de 2005, expediente 1999-00954-01. </w:t>
      </w:r>
    </w:p>
  </w:footnote>
  <w:footnote w:id="28">
    <w:p w14:paraId="2C720586" w14:textId="229378B1" w:rsidR="00A81027" w:rsidRPr="005F0598" w:rsidRDefault="00A81027"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110. C.1</w:t>
      </w:r>
    </w:p>
  </w:footnote>
  <w:footnote w:id="29">
    <w:p w14:paraId="7125260C" w14:textId="77777777" w:rsidR="00F14DEF" w:rsidRPr="005F0598" w:rsidRDefault="00F14DEF"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111 C.1</w:t>
      </w:r>
    </w:p>
  </w:footnote>
  <w:footnote w:id="30">
    <w:p w14:paraId="6BDECAF2" w14:textId="49CBFAF8" w:rsidR="00600707" w:rsidRPr="005F0598" w:rsidRDefault="00600707"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00740F3C" w:rsidRPr="005F0598">
        <w:rPr>
          <w:rFonts w:ascii="Bookman Old Style" w:hAnsi="Bookman Old Style"/>
          <w:sz w:val="18"/>
          <w:szCs w:val="18"/>
        </w:rPr>
        <w:t>Efrén</w:t>
      </w:r>
      <w:r w:rsidRPr="005F0598">
        <w:rPr>
          <w:rFonts w:ascii="Bookman Old Style" w:hAnsi="Bookman Old Style"/>
          <w:sz w:val="18"/>
          <w:szCs w:val="18"/>
        </w:rPr>
        <w:t xml:space="preserve"> Ossa G. </w:t>
      </w:r>
      <w:r w:rsidRPr="005F0598">
        <w:rPr>
          <w:rFonts w:ascii="Bookman Old Style" w:hAnsi="Bookman Old Style"/>
          <w:i/>
          <w:iCs/>
          <w:sz w:val="18"/>
          <w:szCs w:val="18"/>
        </w:rPr>
        <w:t>«teoría general del seguro»</w:t>
      </w:r>
      <w:r w:rsidR="005F0598">
        <w:rPr>
          <w:rFonts w:ascii="Bookman Old Style" w:hAnsi="Bookman Old Style"/>
          <w:i/>
          <w:iCs/>
          <w:sz w:val="18"/>
          <w:szCs w:val="18"/>
        </w:rPr>
        <w:t>.</w:t>
      </w:r>
      <w:r w:rsidRPr="005F0598">
        <w:rPr>
          <w:rFonts w:ascii="Bookman Old Style" w:hAnsi="Bookman Old Style"/>
          <w:i/>
          <w:iCs/>
          <w:sz w:val="18"/>
          <w:szCs w:val="18"/>
        </w:rPr>
        <w:t xml:space="preserve"> </w:t>
      </w:r>
      <w:r w:rsidRPr="005F0598">
        <w:rPr>
          <w:rFonts w:ascii="Bookman Old Style" w:hAnsi="Bookman Old Style"/>
          <w:sz w:val="18"/>
          <w:szCs w:val="18"/>
        </w:rPr>
        <w:t>Ed Temis,1984. Pág. 362.</w:t>
      </w:r>
    </w:p>
  </w:footnote>
  <w:footnote w:id="31">
    <w:p w14:paraId="26BD8E96" w14:textId="6E9A3AEF" w:rsidR="00606DB2" w:rsidRPr="005F0598" w:rsidRDefault="00606DB2"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Hecho que no se discute por el casacionista en su recurso.</w:t>
      </w:r>
    </w:p>
  </w:footnote>
  <w:footnote w:id="32">
    <w:p w14:paraId="17EE95A4" w14:textId="77777777" w:rsidR="002E100A" w:rsidRPr="005F0598" w:rsidRDefault="002E100A"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21 C. Tribunal.</w:t>
      </w:r>
    </w:p>
  </w:footnote>
  <w:footnote w:id="33">
    <w:p w14:paraId="3DB5304B" w14:textId="77777777" w:rsidR="0077569A" w:rsidRPr="005F0598" w:rsidRDefault="0077569A"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 22 C. Tribunal.</w:t>
      </w:r>
    </w:p>
  </w:footnote>
  <w:footnote w:id="34">
    <w:p w14:paraId="71368F70" w14:textId="04567BAC" w:rsidR="00F57DBE" w:rsidRPr="005F0598" w:rsidRDefault="00F57DBE"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sz w:val="18"/>
          <w:szCs w:val="18"/>
          <w:lang w:val="es-CO"/>
        </w:rPr>
        <w:t xml:space="preserve">Folios 132 y 133 del Cuaderno 1. </w:t>
      </w:r>
    </w:p>
  </w:footnote>
  <w:footnote w:id="35">
    <w:p w14:paraId="38820532" w14:textId="1D4670E9" w:rsidR="0073083D" w:rsidRPr="005F0598" w:rsidRDefault="0073083D"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00A019A4" w:rsidRPr="005F0598">
        <w:rPr>
          <w:rFonts w:ascii="Bookman Old Style" w:hAnsi="Bookman Old Style"/>
          <w:sz w:val="18"/>
          <w:szCs w:val="18"/>
        </w:rPr>
        <w:t xml:space="preserve"> CSJ</w:t>
      </w:r>
      <w:r w:rsidRPr="005F0598">
        <w:rPr>
          <w:rFonts w:ascii="Bookman Old Style" w:hAnsi="Bookman Old Style"/>
          <w:sz w:val="18"/>
          <w:szCs w:val="18"/>
        </w:rPr>
        <w:t xml:space="preserve"> G.J. S</w:t>
      </w:r>
      <w:r w:rsidR="00A019A4" w:rsidRPr="005F0598">
        <w:rPr>
          <w:rFonts w:ascii="Bookman Old Style" w:hAnsi="Bookman Old Style"/>
          <w:sz w:val="18"/>
          <w:szCs w:val="18"/>
        </w:rPr>
        <w:t>C</w:t>
      </w:r>
      <w:r w:rsidRPr="005F0598">
        <w:rPr>
          <w:rFonts w:ascii="Bookman Old Style" w:hAnsi="Bookman Old Style"/>
          <w:sz w:val="18"/>
          <w:szCs w:val="18"/>
        </w:rPr>
        <w:t xml:space="preserve"> Numero 2431. Sentencia 444. 26 de octubre de 1988.</w:t>
      </w:r>
    </w:p>
  </w:footnote>
  <w:footnote w:id="36">
    <w:p w14:paraId="3D6F6E58" w14:textId="32E81505" w:rsidR="00EC51CC" w:rsidRPr="005F0598" w:rsidRDefault="00EC51CC"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Folios 148-156.</w:t>
      </w:r>
    </w:p>
  </w:footnote>
  <w:footnote w:id="37">
    <w:p w14:paraId="20EED0F8" w14:textId="77777777" w:rsidR="005F0598" w:rsidRPr="005F0598" w:rsidRDefault="005F0598" w:rsidP="005F0598">
      <w:pPr>
        <w:pStyle w:val="Textonotapie"/>
        <w:jc w:val="both"/>
        <w:rPr>
          <w:rFonts w:ascii="Bookman Old Style" w:hAnsi="Bookman Old Style"/>
          <w:sz w:val="18"/>
          <w:szCs w:val="18"/>
          <w:lang w:val="es-CO"/>
        </w:rPr>
      </w:pPr>
      <w:r w:rsidRPr="005F0598">
        <w:rPr>
          <w:rStyle w:val="Refdenotaalpie"/>
          <w:rFonts w:ascii="Bookman Old Style" w:hAnsi="Bookman Old Style"/>
          <w:sz w:val="18"/>
          <w:szCs w:val="18"/>
        </w:rPr>
        <w:footnoteRef/>
      </w:r>
      <w:r w:rsidRPr="005F0598">
        <w:rPr>
          <w:rFonts w:ascii="Bookman Old Style" w:hAnsi="Bookman Old Style"/>
          <w:sz w:val="18"/>
          <w:szCs w:val="18"/>
          <w:lang w:val="es-CO"/>
        </w:rPr>
        <w:t xml:space="preserve"> CSJ. SC GJ LXXVIII, Pág.1</w:t>
      </w:r>
    </w:p>
  </w:footnote>
  <w:footnote w:id="38">
    <w:p w14:paraId="233A2E6E" w14:textId="60E8E775" w:rsidR="00D235AF" w:rsidRPr="005F0598" w:rsidRDefault="00D235AF" w:rsidP="005F0598">
      <w:pPr>
        <w:pStyle w:val="Textonotapie"/>
        <w:jc w:val="both"/>
        <w:rPr>
          <w:rFonts w:ascii="Bookman Old Style" w:hAnsi="Bookman Old Style"/>
          <w:sz w:val="18"/>
          <w:szCs w:val="18"/>
        </w:rPr>
      </w:pPr>
      <w:r w:rsidRPr="005F0598">
        <w:rPr>
          <w:rStyle w:val="Refdenotaalpie"/>
          <w:rFonts w:ascii="Bookman Old Style" w:hAnsi="Bookman Old Style"/>
          <w:sz w:val="18"/>
          <w:szCs w:val="18"/>
        </w:rPr>
        <w:footnoteRef/>
      </w:r>
      <w:r w:rsidRPr="005F0598">
        <w:rPr>
          <w:rFonts w:ascii="Bookman Old Style" w:hAnsi="Bookman Old Style"/>
          <w:sz w:val="18"/>
          <w:szCs w:val="18"/>
        </w:rPr>
        <w:t xml:space="preserve"> </w:t>
      </w:r>
      <w:r w:rsidRPr="005F0598">
        <w:rPr>
          <w:rFonts w:ascii="Bookman Old Style" w:hAnsi="Bookman Old Style"/>
          <w:bCs/>
          <w:color w:val="000000" w:themeColor="text1"/>
          <w:sz w:val="18"/>
          <w:szCs w:val="18"/>
        </w:rPr>
        <w:t xml:space="preserve">Valga aclarar que en el cargo segundo se denunció la sentencia de ser violatoria de los artículos </w:t>
      </w:r>
      <w:r w:rsidRPr="005F0598">
        <w:rPr>
          <w:rFonts w:ascii="Bookman Old Style" w:hAnsi="Bookman Old Style"/>
          <w:sz w:val="18"/>
          <w:szCs w:val="18"/>
        </w:rPr>
        <w:t xml:space="preserve">1602, 1618, 1621 y 1622 del Código Civil. Sin embargo, ninguna de las mentadas disposiciones es de carácter sustancial. CSJ AC 7520-2017, reiterada en AC3195-2022. CSJ. AC, 9 may. de 2005, reiterada en AC7709-2017. </w:t>
      </w:r>
      <w:r w:rsidRPr="005F0598">
        <w:rPr>
          <w:rFonts w:ascii="Bookman Old Style" w:hAnsi="Bookman Old Style"/>
          <w:sz w:val="18"/>
          <w:szCs w:val="18"/>
          <w:lang w:val="es-MX"/>
        </w:rPr>
        <w:t>CSJ. STC.29. Abr. 2005, reiterada AC5504-2019. Igual respecto de los artículos 1036, 1045 del Código de Comercio, AC 0098-2005. CSJ SC-357-1990.</w:t>
      </w:r>
    </w:p>
  </w:footnote>
  <w:footnote w:id="39">
    <w:p w14:paraId="349CF78B" w14:textId="77777777" w:rsidR="004B5ECB" w:rsidRPr="0016517B" w:rsidRDefault="004B5ECB" w:rsidP="004B5ECB">
      <w:pPr>
        <w:pStyle w:val="Textonotapie"/>
        <w:jc w:val="both"/>
        <w:rPr>
          <w:rFonts w:ascii="Bookman Old Style" w:hAnsi="Bookman Old Style"/>
        </w:rPr>
      </w:pPr>
      <w:r w:rsidRPr="0016517B">
        <w:rPr>
          <w:rStyle w:val="Refdenotaalpie"/>
          <w:rFonts w:ascii="Bookman Old Style" w:hAnsi="Bookman Old Style"/>
        </w:rPr>
        <w:footnoteRef/>
      </w:r>
      <w:r w:rsidRPr="0016517B">
        <w:rPr>
          <w:rFonts w:ascii="Bookman Old Style" w:hAnsi="Bookman Old Style"/>
        </w:rPr>
        <w:t xml:space="preserve"> Eduardo Oteiza, </w:t>
      </w:r>
      <w:r w:rsidRPr="0016517B">
        <w:rPr>
          <w:rFonts w:ascii="Bookman Old Style" w:hAnsi="Bookman Old Style"/>
          <w:i/>
        </w:rPr>
        <w:t xml:space="preserve">Jurisprudencia y debido proceso. La Corte Suprema argentina y la Corte Interamericana. </w:t>
      </w:r>
      <w:r w:rsidRPr="0016517B">
        <w:rPr>
          <w:rFonts w:ascii="Bookman Old Style" w:hAnsi="Bookman Old Style"/>
        </w:rPr>
        <w:t xml:space="preserve">En </w:t>
      </w:r>
      <w:r w:rsidRPr="0016517B">
        <w:rPr>
          <w:rFonts w:ascii="Bookman Old Style" w:hAnsi="Bookman Old Style"/>
          <w:i/>
        </w:rPr>
        <w:t xml:space="preserve">Michele Taruffo </w:t>
      </w:r>
      <w:r w:rsidRPr="0016517B">
        <w:rPr>
          <w:rFonts w:ascii="Bookman Old Style" w:hAnsi="Bookman Old Style"/>
        </w:rPr>
        <w:t xml:space="preserve">et. </w:t>
      </w:r>
      <w:proofErr w:type="spellStart"/>
      <w:r w:rsidRPr="0016517B">
        <w:rPr>
          <w:rFonts w:ascii="Bookman Old Style" w:hAnsi="Bookman Old Style"/>
        </w:rPr>
        <w:t>al</w:t>
      </w:r>
      <w:proofErr w:type="spellEnd"/>
      <w:r w:rsidRPr="0016517B">
        <w:rPr>
          <w:rFonts w:ascii="Bookman Old Style" w:hAnsi="Bookman Old Style"/>
        </w:rPr>
        <w:t xml:space="preserve">., </w:t>
      </w:r>
      <w:r w:rsidRPr="0016517B">
        <w:rPr>
          <w:rFonts w:ascii="Bookman Old Style" w:hAnsi="Bookman Old Style"/>
          <w:i/>
        </w:rPr>
        <w:t xml:space="preserve">La misión de los Tribunales Supremos, </w:t>
      </w:r>
      <w:r w:rsidRPr="0016517B">
        <w:rPr>
          <w:rFonts w:ascii="Bookman Old Style" w:hAnsi="Bookman Old Style"/>
        </w:rPr>
        <w:t>Marcial Pons, Madrid, 2016, p. 132.</w:t>
      </w:r>
    </w:p>
  </w:footnote>
  <w:footnote w:id="40">
    <w:p w14:paraId="04D16F42" w14:textId="77777777" w:rsidR="004B5ECB" w:rsidRPr="0016517B" w:rsidRDefault="004B5ECB" w:rsidP="004B5ECB">
      <w:pPr>
        <w:pStyle w:val="Textonotapie"/>
        <w:jc w:val="both"/>
        <w:rPr>
          <w:rFonts w:ascii="Bookman Old Style" w:hAnsi="Bookman Old Style"/>
          <w:lang w:val="es-CO"/>
        </w:rPr>
      </w:pPr>
      <w:r w:rsidRPr="0016517B">
        <w:rPr>
          <w:rStyle w:val="Refdenotaalpie"/>
          <w:rFonts w:ascii="Bookman Old Style" w:hAnsi="Bookman Old Style"/>
        </w:rPr>
        <w:footnoteRef/>
      </w:r>
      <w:r w:rsidRPr="0016517B">
        <w:rPr>
          <w:rFonts w:ascii="Bookman Old Style" w:hAnsi="Bookman Old Style"/>
        </w:rPr>
        <w:t xml:space="preserve"> </w:t>
      </w:r>
      <w:r w:rsidRPr="0016517B">
        <w:rPr>
          <w:rFonts w:ascii="Bookman Old Style" w:hAnsi="Bookman Old Style"/>
          <w:lang w:val="es-CO"/>
        </w:rPr>
        <w:t>Caso Genie Lacayo Vs. Nicaragua, sentencia 29 en. 1997.</w:t>
      </w:r>
    </w:p>
  </w:footnote>
  <w:footnote w:id="41">
    <w:p w14:paraId="71A5EFB2" w14:textId="77777777" w:rsidR="004B5ECB" w:rsidRPr="0016517B" w:rsidRDefault="004B5ECB" w:rsidP="004B5ECB">
      <w:pPr>
        <w:pStyle w:val="Textonotapie"/>
        <w:rPr>
          <w:rFonts w:ascii="Bookman Old Style" w:hAnsi="Bookman Old Style"/>
          <w:lang w:val="es-CO"/>
        </w:rPr>
      </w:pPr>
      <w:r w:rsidRPr="0016517B">
        <w:rPr>
          <w:rStyle w:val="Refdenotaalpie"/>
          <w:rFonts w:ascii="Bookman Old Style" w:hAnsi="Bookman Old Style"/>
        </w:rPr>
        <w:footnoteRef/>
      </w:r>
      <w:r w:rsidRPr="0016517B">
        <w:rPr>
          <w:rFonts w:ascii="Bookman Old Style" w:hAnsi="Bookman Old Style"/>
        </w:rPr>
        <w:t xml:space="preserve"> Caso </w:t>
      </w:r>
      <w:proofErr w:type="spellStart"/>
      <w:r w:rsidRPr="0016517B">
        <w:rPr>
          <w:rFonts w:ascii="Bookman Old Style" w:hAnsi="Bookman Old Style"/>
        </w:rPr>
        <w:t>Mémoli</w:t>
      </w:r>
      <w:proofErr w:type="spellEnd"/>
      <w:r w:rsidRPr="0016517B">
        <w:rPr>
          <w:rFonts w:ascii="Bookman Old Style" w:hAnsi="Bookman Old Style"/>
        </w:rPr>
        <w:t xml:space="preserve"> Vs. Argentina, sentencia 22 </w:t>
      </w:r>
      <w:proofErr w:type="spellStart"/>
      <w:r w:rsidRPr="0016517B">
        <w:rPr>
          <w:rFonts w:ascii="Bookman Old Style" w:hAnsi="Bookman Old Style"/>
        </w:rPr>
        <w:t>ag</w:t>
      </w:r>
      <w:proofErr w:type="spellEnd"/>
      <w:r w:rsidRPr="0016517B">
        <w:rPr>
          <w:rFonts w:ascii="Bookman Old Style" w:hAnsi="Bookman Old Style"/>
        </w:rPr>
        <w:t>. 2013.</w:t>
      </w:r>
    </w:p>
  </w:footnote>
  <w:footnote w:id="42">
    <w:p w14:paraId="05E96CC3" w14:textId="77777777" w:rsidR="004B5ECB" w:rsidRPr="0016517B" w:rsidRDefault="004B5ECB" w:rsidP="004B5ECB">
      <w:pPr>
        <w:pStyle w:val="Textonotapie"/>
        <w:rPr>
          <w:rFonts w:ascii="Bookman Old Style" w:hAnsi="Bookman Old Style"/>
          <w:lang w:val="es-ES"/>
        </w:rPr>
      </w:pPr>
      <w:r w:rsidRPr="0016517B">
        <w:rPr>
          <w:rStyle w:val="Refdenotaalpie"/>
          <w:rFonts w:ascii="Bookman Old Style" w:hAnsi="Bookman Old Style"/>
        </w:rPr>
        <w:footnoteRef/>
      </w:r>
      <w:r w:rsidRPr="0016517B">
        <w:rPr>
          <w:rFonts w:ascii="Bookman Old Style" w:hAnsi="Bookman Old Style"/>
        </w:rPr>
        <w:t xml:space="preserve"> https://espanol.doingbusiness.org/es/data/exploretopics/enforcing-contracts.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BC4BC" w14:textId="77777777" w:rsidR="004C4004" w:rsidRPr="002F1E30" w:rsidRDefault="004C4004" w:rsidP="001E1807">
    <w:pPr>
      <w:pStyle w:val="Encabezado"/>
      <w:spacing w:after="0"/>
    </w:pPr>
  </w:p>
  <w:p w14:paraId="3D56A0E4" w14:textId="4DA769BF" w:rsidR="004C4004" w:rsidRPr="004D7461" w:rsidRDefault="004C4004" w:rsidP="002F1E30">
    <w:pPr>
      <w:pStyle w:val="Encabezado"/>
      <w:jc w:val="right"/>
      <w:rPr>
        <w:rFonts w:ascii="Bookman Old Style" w:hAnsi="Bookman Old Style"/>
        <w:sz w:val="18"/>
        <w:lang w:val="es-ES_tradnl"/>
      </w:rPr>
    </w:pPr>
    <w:r w:rsidRPr="002F1E30">
      <w:rPr>
        <w:rFonts w:ascii="Bookman Old Style" w:hAnsi="Bookman Old Style"/>
        <w:sz w:val="18"/>
      </w:rPr>
      <w:t xml:space="preserve">Radicación nº </w:t>
    </w:r>
    <w:r w:rsidR="004D7461" w:rsidRPr="004D7461">
      <w:rPr>
        <w:rFonts w:ascii="Bookman Old Style" w:hAnsi="Bookman Old Style"/>
        <w:sz w:val="18"/>
        <w:lang w:val="es-ES_tradnl"/>
      </w:rPr>
      <w:t>11001-31-03-004-2016-00099-01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4D6A" w14:textId="77777777" w:rsidR="004C4004" w:rsidRDefault="004C4004" w:rsidP="001E1807">
    <w:pPr>
      <w:pStyle w:val="Encabezado"/>
      <w:jc w:val="center"/>
    </w:pPr>
  </w:p>
  <w:p w14:paraId="0C81864C" w14:textId="3E3F8E9E" w:rsidR="004C4004" w:rsidRDefault="001E0ACB" w:rsidP="001E1807">
    <w:pPr>
      <w:pStyle w:val="Encabezado"/>
      <w:jc w:val="center"/>
    </w:pPr>
    <w:r>
      <w:rPr>
        <w:noProof/>
        <w:lang w:val="es-ES"/>
      </w:rPr>
      <w:drawing>
        <wp:inline distT="0" distB="0" distL="0" distR="0" wp14:anchorId="5B969933" wp14:editId="3B802606">
          <wp:extent cx="1252641" cy="1716789"/>
          <wp:effectExtent l="0" t="0" r="0" b="0"/>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extLst/>
                  </a:blip>
                  <a:srcRect l="331" r="331"/>
                  <a:stretch>
                    <a:fillRect/>
                  </a:stretch>
                </pic:blipFill>
                <pic:spPr>
                  <a:xfrm>
                    <a:off x="0" y="0"/>
                    <a:ext cx="1252641" cy="171678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117"/>
    <w:multiLevelType w:val="hybridMultilevel"/>
    <w:tmpl w:val="5F14E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F33A72"/>
    <w:multiLevelType w:val="hybridMultilevel"/>
    <w:tmpl w:val="EB56F9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F662C6"/>
    <w:multiLevelType w:val="hybridMultilevel"/>
    <w:tmpl w:val="AD68FC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6313D0"/>
    <w:multiLevelType w:val="hybridMultilevel"/>
    <w:tmpl w:val="46DA9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4303A7"/>
    <w:multiLevelType w:val="hybridMultilevel"/>
    <w:tmpl w:val="27EE20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805DB6"/>
    <w:multiLevelType w:val="hybridMultilevel"/>
    <w:tmpl w:val="102A87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9B2A5B"/>
    <w:multiLevelType w:val="hybridMultilevel"/>
    <w:tmpl w:val="D97874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0040A8"/>
    <w:multiLevelType w:val="hybridMultilevel"/>
    <w:tmpl w:val="3CB68D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847525"/>
    <w:multiLevelType w:val="hybridMultilevel"/>
    <w:tmpl w:val="5802E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271619"/>
    <w:multiLevelType w:val="hybridMultilevel"/>
    <w:tmpl w:val="56D233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226F3F"/>
    <w:multiLevelType w:val="hybridMultilevel"/>
    <w:tmpl w:val="067C3C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5F0EC0"/>
    <w:multiLevelType w:val="hybridMultilevel"/>
    <w:tmpl w:val="4724A0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7E7E25"/>
    <w:multiLevelType w:val="multilevel"/>
    <w:tmpl w:val="61FA1BEA"/>
    <w:lvl w:ilvl="0">
      <w:start w:val="1"/>
      <w:numFmt w:val="upperRoman"/>
      <w:lvlText w:val="%1."/>
      <w:lvlJc w:val="left"/>
      <w:pPr>
        <w:ind w:left="1429" w:hanging="720"/>
      </w:pPr>
      <w:rPr>
        <w:rFonts w:hint="default"/>
      </w:rPr>
    </w:lvl>
    <w:lvl w:ilvl="1">
      <w:start w:val="5"/>
      <w:numFmt w:val="decimal"/>
      <w:isLgl/>
      <w:lvlText w:val="%1.%2."/>
      <w:lvlJc w:val="left"/>
      <w:pPr>
        <w:ind w:left="1429" w:hanging="720"/>
      </w:pPr>
      <w:rPr>
        <w:rFonts w:hint="default"/>
        <w:b w:val="0"/>
        <w:i/>
      </w:rPr>
    </w:lvl>
    <w:lvl w:ilvl="2">
      <w:start w:val="1"/>
      <w:numFmt w:val="decimal"/>
      <w:isLgl/>
      <w:lvlText w:val="%1.%2.%3."/>
      <w:lvlJc w:val="left"/>
      <w:pPr>
        <w:ind w:left="1429" w:hanging="720"/>
      </w:pPr>
      <w:rPr>
        <w:rFonts w:hint="default"/>
        <w:b w:val="0"/>
        <w:i/>
      </w:rPr>
    </w:lvl>
    <w:lvl w:ilvl="3">
      <w:start w:val="1"/>
      <w:numFmt w:val="decimal"/>
      <w:isLgl/>
      <w:lvlText w:val="%1.%2.%3.%4."/>
      <w:lvlJc w:val="left"/>
      <w:pPr>
        <w:ind w:left="1789" w:hanging="1080"/>
      </w:pPr>
      <w:rPr>
        <w:rFonts w:hint="default"/>
        <w:b w:val="0"/>
        <w:i/>
      </w:rPr>
    </w:lvl>
    <w:lvl w:ilvl="4">
      <w:start w:val="1"/>
      <w:numFmt w:val="decimal"/>
      <w:isLgl/>
      <w:lvlText w:val="%1.%2.%3.%4.%5."/>
      <w:lvlJc w:val="left"/>
      <w:pPr>
        <w:ind w:left="2149" w:hanging="1440"/>
      </w:pPr>
      <w:rPr>
        <w:rFonts w:hint="default"/>
        <w:b w:val="0"/>
        <w:i/>
      </w:rPr>
    </w:lvl>
    <w:lvl w:ilvl="5">
      <w:start w:val="1"/>
      <w:numFmt w:val="decimal"/>
      <w:isLgl/>
      <w:lvlText w:val="%1.%2.%3.%4.%5.%6."/>
      <w:lvlJc w:val="left"/>
      <w:pPr>
        <w:ind w:left="2149" w:hanging="1440"/>
      </w:pPr>
      <w:rPr>
        <w:rFonts w:hint="default"/>
        <w:b w:val="0"/>
        <w:i/>
      </w:rPr>
    </w:lvl>
    <w:lvl w:ilvl="6">
      <w:start w:val="1"/>
      <w:numFmt w:val="decimal"/>
      <w:isLgl/>
      <w:lvlText w:val="%1.%2.%3.%4.%5.%6.%7."/>
      <w:lvlJc w:val="left"/>
      <w:pPr>
        <w:ind w:left="2509" w:hanging="1800"/>
      </w:pPr>
      <w:rPr>
        <w:rFonts w:hint="default"/>
        <w:b w:val="0"/>
        <w:i/>
      </w:rPr>
    </w:lvl>
    <w:lvl w:ilvl="7">
      <w:start w:val="1"/>
      <w:numFmt w:val="decimal"/>
      <w:isLgl/>
      <w:lvlText w:val="%1.%2.%3.%4.%5.%6.%7.%8."/>
      <w:lvlJc w:val="left"/>
      <w:pPr>
        <w:ind w:left="2869" w:hanging="2160"/>
      </w:pPr>
      <w:rPr>
        <w:rFonts w:hint="default"/>
        <w:b w:val="0"/>
        <w:i/>
      </w:rPr>
    </w:lvl>
    <w:lvl w:ilvl="8">
      <w:start w:val="1"/>
      <w:numFmt w:val="decimal"/>
      <w:isLgl/>
      <w:lvlText w:val="%1.%2.%3.%4.%5.%6.%7.%8.%9."/>
      <w:lvlJc w:val="left"/>
      <w:pPr>
        <w:ind w:left="2869" w:hanging="2160"/>
      </w:pPr>
      <w:rPr>
        <w:rFonts w:hint="default"/>
        <w:b w:val="0"/>
        <w:i/>
      </w:rPr>
    </w:lvl>
  </w:abstractNum>
  <w:abstractNum w:abstractNumId="13" w15:restartNumberingAfterBreak="0">
    <w:nsid w:val="45C903BF"/>
    <w:multiLevelType w:val="hybridMultilevel"/>
    <w:tmpl w:val="A55056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A527006"/>
    <w:multiLevelType w:val="hybridMultilevel"/>
    <w:tmpl w:val="F3DE44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B4C6370"/>
    <w:multiLevelType w:val="hybridMultilevel"/>
    <w:tmpl w:val="1B0CE7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093C5C"/>
    <w:multiLevelType w:val="hybridMultilevel"/>
    <w:tmpl w:val="118EE9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7220F0"/>
    <w:multiLevelType w:val="hybridMultilevel"/>
    <w:tmpl w:val="35C4F4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C0544E"/>
    <w:multiLevelType w:val="hybridMultilevel"/>
    <w:tmpl w:val="6D2A7F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38682E"/>
    <w:multiLevelType w:val="hybridMultilevel"/>
    <w:tmpl w:val="85B25D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9291930"/>
    <w:multiLevelType w:val="hybridMultilevel"/>
    <w:tmpl w:val="6F7667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8982778"/>
    <w:multiLevelType w:val="hybridMultilevel"/>
    <w:tmpl w:val="1E1465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C5C2190"/>
    <w:multiLevelType w:val="hybridMultilevel"/>
    <w:tmpl w:val="2A1E24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3"/>
  </w:num>
  <w:num w:numId="3">
    <w:abstractNumId w:val="14"/>
  </w:num>
  <w:num w:numId="4">
    <w:abstractNumId w:val="16"/>
  </w:num>
  <w:num w:numId="5">
    <w:abstractNumId w:val="8"/>
  </w:num>
  <w:num w:numId="6">
    <w:abstractNumId w:val="6"/>
  </w:num>
  <w:num w:numId="7">
    <w:abstractNumId w:val="17"/>
  </w:num>
  <w:num w:numId="8">
    <w:abstractNumId w:val="0"/>
  </w:num>
  <w:num w:numId="9">
    <w:abstractNumId w:val="21"/>
  </w:num>
  <w:num w:numId="10">
    <w:abstractNumId w:val="7"/>
  </w:num>
  <w:num w:numId="11">
    <w:abstractNumId w:val="9"/>
  </w:num>
  <w:num w:numId="12">
    <w:abstractNumId w:val="3"/>
  </w:num>
  <w:num w:numId="13">
    <w:abstractNumId w:val="18"/>
  </w:num>
  <w:num w:numId="14">
    <w:abstractNumId w:val="1"/>
  </w:num>
  <w:num w:numId="15">
    <w:abstractNumId w:val="20"/>
  </w:num>
  <w:num w:numId="16">
    <w:abstractNumId w:val="19"/>
  </w:num>
  <w:num w:numId="17">
    <w:abstractNumId w:val="2"/>
  </w:num>
  <w:num w:numId="18">
    <w:abstractNumId w:val="4"/>
  </w:num>
  <w:num w:numId="19">
    <w:abstractNumId w:val="5"/>
  </w:num>
  <w:num w:numId="20">
    <w:abstractNumId w:val="15"/>
  </w:num>
  <w:num w:numId="21">
    <w:abstractNumId w:val="10"/>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D9"/>
    <w:rsid w:val="00000C0F"/>
    <w:rsid w:val="000019DE"/>
    <w:rsid w:val="00001B06"/>
    <w:rsid w:val="00001D38"/>
    <w:rsid w:val="00001EB5"/>
    <w:rsid w:val="00002419"/>
    <w:rsid w:val="00002970"/>
    <w:rsid w:val="00003B53"/>
    <w:rsid w:val="00003BDA"/>
    <w:rsid w:val="00003F53"/>
    <w:rsid w:val="0000497C"/>
    <w:rsid w:val="00004B9A"/>
    <w:rsid w:val="000075C4"/>
    <w:rsid w:val="00007FAC"/>
    <w:rsid w:val="00007FD6"/>
    <w:rsid w:val="00010B7C"/>
    <w:rsid w:val="00010CE3"/>
    <w:rsid w:val="000112A9"/>
    <w:rsid w:val="00011475"/>
    <w:rsid w:val="00012F20"/>
    <w:rsid w:val="0001309A"/>
    <w:rsid w:val="00013379"/>
    <w:rsid w:val="0001376F"/>
    <w:rsid w:val="000137B9"/>
    <w:rsid w:val="000150F2"/>
    <w:rsid w:val="000156CC"/>
    <w:rsid w:val="00015CDA"/>
    <w:rsid w:val="000166D1"/>
    <w:rsid w:val="00016BB1"/>
    <w:rsid w:val="00016FA2"/>
    <w:rsid w:val="0002011A"/>
    <w:rsid w:val="000210D9"/>
    <w:rsid w:val="00021399"/>
    <w:rsid w:val="0002265F"/>
    <w:rsid w:val="00022CE2"/>
    <w:rsid w:val="00023816"/>
    <w:rsid w:val="000243F4"/>
    <w:rsid w:val="00024EF4"/>
    <w:rsid w:val="000251E9"/>
    <w:rsid w:val="00025F5A"/>
    <w:rsid w:val="0003013C"/>
    <w:rsid w:val="0003014A"/>
    <w:rsid w:val="0003174F"/>
    <w:rsid w:val="00031D63"/>
    <w:rsid w:val="00032351"/>
    <w:rsid w:val="00032DAA"/>
    <w:rsid w:val="00032FB2"/>
    <w:rsid w:val="00033711"/>
    <w:rsid w:val="000348FF"/>
    <w:rsid w:val="00034A13"/>
    <w:rsid w:val="00034FF9"/>
    <w:rsid w:val="00036D10"/>
    <w:rsid w:val="000417F4"/>
    <w:rsid w:val="000431B8"/>
    <w:rsid w:val="000434A3"/>
    <w:rsid w:val="000446B3"/>
    <w:rsid w:val="0004544C"/>
    <w:rsid w:val="0004584F"/>
    <w:rsid w:val="0004619B"/>
    <w:rsid w:val="00047A3E"/>
    <w:rsid w:val="00047E46"/>
    <w:rsid w:val="00047FDF"/>
    <w:rsid w:val="00050CD7"/>
    <w:rsid w:val="000529C8"/>
    <w:rsid w:val="00053F63"/>
    <w:rsid w:val="000543F4"/>
    <w:rsid w:val="00054498"/>
    <w:rsid w:val="00056817"/>
    <w:rsid w:val="000575E5"/>
    <w:rsid w:val="0006245E"/>
    <w:rsid w:val="00062AE0"/>
    <w:rsid w:val="00062C7A"/>
    <w:rsid w:val="00064230"/>
    <w:rsid w:val="0006497C"/>
    <w:rsid w:val="000649CB"/>
    <w:rsid w:val="00064E7A"/>
    <w:rsid w:val="00065546"/>
    <w:rsid w:val="00065E76"/>
    <w:rsid w:val="000661BB"/>
    <w:rsid w:val="00067B53"/>
    <w:rsid w:val="000700F2"/>
    <w:rsid w:val="00070745"/>
    <w:rsid w:val="000708B2"/>
    <w:rsid w:val="0007099C"/>
    <w:rsid w:val="00071D1D"/>
    <w:rsid w:val="00074EFB"/>
    <w:rsid w:val="00075F3F"/>
    <w:rsid w:val="0007611C"/>
    <w:rsid w:val="00076F06"/>
    <w:rsid w:val="00077076"/>
    <w:rsid w:val="00077793"/>
    <w:rsid w:val="00077985"/>
    <w:rsid w:val="00077D71"/>
    <w:rsid w:val="00081E00"/>
    <w:rsid w:val="000822B2"/>
    <w:rsid w:val="000824D3"/>
    <w:rsid w:val="00083987"/>
    <w:rsid w:val="00084184"/>
    <w:rsid w:val="0008428F"/>
    <w:rsid w:val="00086411"/>
    <w:rsid w:val="00086510"/>
    <w:rsid w:val="0008706C"/>
    <w:rsid w:val="0008789B"/>
    <w:rsid w:val="00087BBB"/>
    <w:rsid w:val="00090277"/>
    <w:rsid w:val="00092C99"/>
    <w:rsid w:val="00092CF7"/>
    <w:rsid w:val="00094CFF"/>
    <w:rsid w:val="000961C7"/>
    <w:rsid w:val="00097295"/>
    <w:rsid w:val="00097996"/>
    <w:rsid w:val="00097D8B"/>
    <w:rsid w:val="000A0691"/>
    <w:rsid w:val="000A135B"/>
    <w:rsid w:val="000A2004"/>
    <w:rsid w:val="000A3251"/>
    <w:rsid w:val="000A4372"/>
    <w:rsid w:val="000A4614"/>
    <w:rsid w:val="000A4FD8"/>
    <w:rsid w:val="000A6CC5"/>
    <w:rsid w:val="000A7B72"/>
    <w:rsid w:val="000B0476"/>
    <w:rsid w:val="000B0F21"/>
    <w:rsid w:val="000B1021"/>
    <w:rsid w:val="000B1400"/>
    <w:rsid w:val="000B14FA"/>
    <w:rsid w:val="000B1D91"/>
    <w:rsid w:val="000B1F70"/>
    <w:rsid w:val="000B47C5"/>
    <w:rsid w:val="000B513B"/>
    <w:rsid w:val="000B6D65"/>
    <w:rsid w:val="000B72C4"/>
    <w:rsid w:val="000B7A73"/>
    <w:rsid w:val="000B7B70"/>
    <w:rsid w:val="000C0147"/>
    <w:rsid w:val="000C0216"/>
    <w:rsid w:val="000C0DA8"/>
    <w:rsid w:val="000C1F5C"/>
    <w:rsid w:val="000C2FAD"/>
    <w:rsid w:val="000C39CD"/>
    <w:rsid w:val="000C3D0C"/>
    <w:rsid w:val="000D1325"/>
    <w:rsid w:val="000D2239"/>
    <w:rsid w:val="000D334E"/>
    <w:rsid w:val="000D3CBD"/>
    <w:rsid w:val="000D48F3"/>
    <w:rsid w:val="000D4CBF"/>
    <w:rsid w:val="000D5127"/>
    <w:rsid w:val="000D627A"/>
    <w:rsid w:val="000D6BB9"/>
    <w:rsid w:val="000D7553"/>
    <w:rsid w:val="000D7AB4"/>
    <w:rsid w:val="000E08B4"/>
    <w:rsid w:val="000E0CE5"/>
    <w:rsid w:val="000E1401"/>
    <w:rsid w:val="000E1A3B"/>
    <w:rsid w:val="000E2BAE"/>
    <w:rsid w:val="000E40F4"/>
    <w:rsid w:val="000E424F"/>
    <w:rsid w:val="000E494D"/>
    <w:rsid w:val="000E4EF0"/>
    <w:rsid w:val="000E5D63"/>
    <w:rsid w:val="000E6A35"/>
    <w:rsid w:val="000F18DF"/>
    <w:rsid w:val="000F22A2"/>
    <w:rsid w:val="000F2849"/>
    <w:rsid w:val="000F2C64"/>
    <w:rsid w:val="000F2D41"/>
    <w:rsid w:val="000F32E9"/>
    <w:rsid w:val="000F50D2"/>
    <w:rsid w:val="000F5AC4"/>
    <w:rsid w:val="000F5B75"/>
    <w:rsid w:val="000F6BBD"/>
    <w:rsid w:val="000F6C43"/>
    <w:rsid w:val="00100B5F"/>
    <w:rsid w:val="0010299E"/>
    <w:rsid w:val="0010386B"/>
    <w:rsid w:val="00103885"/>
    <w:rsid w:val="0010428B"/>
    <w:rsid w:val="00104A02"/>
    <w:rsid w:val="001050E0"/>
    <w:rsid w:val="001054F6"/>
    <w:rsid w:val="00105B8C"/>
    <w:rsid w:val="001060A7"/>
    <w:rsid w:val="0011044A"/>
    <w:rsid w:val="00112380"/>
    <w:rsid w:val="00112A6D"/>
    <w:rsid w:val="00112C38"/>
    <w:rsid w:val="00113F6B"/>
    <w:rsid w:val="00114264"/>
    <w:rsid w:val="00115144"/>
    <w:rsid w:val="00115DA6"/>
    <w:rsid w:val="00115F96"/>
    <w:rsid w:val="00117317"/>
    <w:rsid w:val="00117651"/>
    <w:rsid w:val="001206D0"/>
    <w:rsid w:val="00121CDE"/>
    <w:rsid w:val="001222AD"/>
    <w:rsid w:val="00122EBE"/>
    <w:rsid w:val="00123F10"/>
    <w:rsid w:val="00124DF4"/>
    <w:rsid w:val="0012578B"/>
    <w:rsid w:val="0012629E"/>
    <w:rsid w:val="00126495"/>
    <w:rsid w:val="00127157"/>
    <w:rsid w:val="00127FF4"/>
    <w:rsid w:val="00130385"/>
    <w:rsid w:val="00135F11"/>
    <w:rsid w:val="00136791"/>
    <w:rsid w:val="00136CD2"/>
    <w:rsid w:val="00136E8A"/>
    <w:rsid w:val="00136EC6"/>
    <w:rsid w:val="00136EE5"/>
    <w:rsid w:val="0013713D"/>
    <w:rsid w:val="001373AA"/>
    <w:rsid w:val="00137E28"/>
    <w:rsid w:val="001400A4"/>
    <w:rsid w:val="00140A18"/>
    <w:rsid w:val="00140AF7"/>
    <w:rsid w:val="00141302"/>
    <w:rsid w:val="00141704"/>
    <w:rsid w:val="00141836"/>
    <w:rsid w:val="00141C3D"/>
    <w:rsid w:val="00142758"/>
    <w:rsid w:val="00143800"/>
    <w:rsid w:val="00143B23"/>
    <w:rsid w:val="00145189"/>
    <w:rsid w:val="0014640A"/>
    <w:rsid w:val="001469EE"/>
    <w:rsid w:val="00146A9E"/>
    <w:rsid w:val="00147343"/>
    <w:rsid w:val="00150693"/>
    <w:rsid w:val="00150BEF"/>
    <w:rsid w:val="00151659"/>
    <w:rsid w:val="00152517"/>
    <w:rsid w:val="001530A0"/>
    <w:rsid w:val="00153109"/>
    <w:rsid w:val="001569D3"/>
    <w:rsid w:val="00156A2C"/>
    <w:rsid w:val="00156C83"/>
    <w:rsid w:val="00157225"/>
    <w:rsid w:val="001572AE"/>
    <w:rsid w:val="00157817"/>
    <w:rsid w:val="00160521"/>
    <w:rsid w:val="00160842"/>
    <w:rsid w:val="0016109D"/>
    <w:rsid w:val="00161C4A"/>
    <w:rsid w:val="00162282"/>
    <w:rsid w:val="00162562"/>
    <w:rsid w:val="001625CB"/>
    <w:rsid w:val="00163543"/>
    <w:rsid w:val="001638FA"/>
    <w:rsid w:val="001639DB"/>
    <w:rsid w:val="00163C6E"/>
    <w:rsid w:val="0016615C"/>
    <w:rsid w:val="001667B2"/>
    <w:rsid w:val="001668C8"/>
    <w:rsid w:val="00166A94"/>
    <w:rsid w:val="00166B89"/>
    <w:rsid w:val="00167B32"/>
    <w:rsid w:val="00167CB4"/>
    <w:rsid w:val="00167E60"/>
    <w:rsid w:val="0017009D"/>
    <w:rsid w:val="00170528"/>
    <w:rsid w:val="00172437"/>
    <w:rsid w:val="001742E0"/>
    <w:rsid w:val="00174674"/>
    <w:rsid w:val="001759F8"/>
    <w:rsid w:val="00175C51"/>
    <w:rsid w:val="00175D6A"/>
    <w:rsid w:val="001760E7"/>
    <w:rsid w:val="00176B1F"/>
    <w:rsid w:val="0017727F"/>
    <w:rsid w:val="0017739F"/>
    <w:rsid w:val="0018094A"/>
    <w:rsid w:val="0018157B"/>
    <w:rsid w:val="0018231C"/>
    <w:rsid w:val="00182B08"/>
    <w:rsid w:val="00182D1E"/>
    <w:rsid w:val="001830D7"/>
    <w:rsid w:val="00183120"/>
    <w:rsid w:val="0018789F"/>
    <w:rsid w:val="00187F01"/>
    <w:rsid w:val="0019013E"/>
    <w:rsid w:val="001905A8"/>
    <w:rsid w:val="001905F3"/>
    <w:rsid w:val="001907EB"/>
    <w:rsid w:val="001909DB"/>
    <w:rsid w:val="0019307F"/>
    <w:rsid w:val="001931F9"/>
    <w:rsid w:val="00193FB6"/>
    <w:rsid w:val="00194DD0"/>
    <w:rsid w:val="00195C95"/>
    <w:rsid w:val="00195EDD"/>
    <w:rsid w:val="001961C3"/>
    <w:rsid w:val="00197195"/>
    <w:rsid w:val="001A065A"/>
    <w:rsid w:val="001A0CDC"/>
    <w:rsid w:val="001A163C"/>
    <w:rsid w:val="001A3A57"/>
    <w:rsid w:val="001A50B6"/>
    <w:rsid w:val="001A62D9"/>
    <w:rsid w:val="001A6A53"/>
    <w:rsid w:val="001A6D17"/>
    <w:rsid w:val="001A6E62"/>
    <w:rsid w:val="001B030E"/>
    <w:rsid w:val="001B0B54"/>
    <w:rsid w:val="001B1476"/>
    <w:rsid w:val="001B1EEB"/>
    <w:rsid w:val="001B2A1D"/>
    <w:rsid w:val="001B2A9E"/>
    <w:rsid w:val="001B3A70"/>
    <w:rsid w:val="001B4824"/>
    <w:rsid w:val="001B5709"/>
    <w:rsid w:val="001B6975"/>
    <w:rsid w:val="001B7C19"/>
    <w:rsid w:val="001B7E97"/>
    <w:rsid w:val="001B7EF4"/>
    <w:rsid w:val="001C030E"/>
    <w:rsid w:val="001C05B6"/>
    <w:rsid w:val="001C0E2B"/>
    <w:rsid w:val="001C0F10"/>
    <w:rsid w:val="001C11FD"/>
    <w:rsid w:val="001C21FA"/>
    <w:rsid w:val="001C2A74"/>
    <w:rsid w:val="001C314E"/>
    <w:rsid w:val="001C34E1"/>
    <w:rsid w:val="001C3CC5"/>
    <w:rsid w:val="001C4FDB"/>
    <w:rsid w:val="001C553C"/>
    <w:rsid w:val="001C5E3E"/>
    <w:rsid w:val="001C74BB"/>
    <w:rsid w:val="001C74D7"/>
    <w:rsid w:val="001D01E1"/>
    <w:rsid w:val="001D0437"/>
    <w:rsid w:val="001D07F4"/>
    <w:rsid w:val="001D0A3C"/>
    <w:rsid w:val="001D0B75"/>
    <w:rsid w:val="001D1485"/>
    <w:rsid w:val="001D19AE"/>
    <w:rsid w:val="001D21B8"/>
    <w:rsid w:val="001D25AC"/>
    <w:rsid w:val="001D273C"/>
    <w:rsid w:val="001D2EE5"/>
    <w:rsid w:val="001D3820"/>
    <w:rsid w:val="001D3FF6"/>
    <w:rsid w:val="001D400F"/>
    <w:rsid w:val="001D4B85"/>
    <w:rsid w:val="001D4C45"/>
    <w:rsid w:val="001D5C2E"/>
    <w:rsid w:val="001D5F7C"/>
    <w:rsid w:val="001D661F"/>
    <w:rsid w:val="001D6630"/>
    <w:rsid w:val="001D7331"/>
    <w:rsid w:val="001D7723"/>
    <w:rsid w:val="001E0532"/>
    <w:rsid w:val="001E0ACB"/>
    <w:rsid w:val="001E0C85"/>
    <w:rsid w:val="001E17CC"/>
    <w:rsid w:val="001E1807"/>
    <w:rsid w:val="001E1FEB"/>
    <w:rsid w:val="001E25C8"/>
    <w:rsid w:val="001E2822"/>
    <w:rsid w:val="001E3473"/>
    <w:rsid w:val="001E3CAD"/>
    <w:rsid w:val="001E3FD4"/>
    <w:rsid w:val="001E5165"/>
    <w:rsid w:val="001E55DD"/>
    <w:rsid w:val="001E5DCD"/>
    <w:rsid w:val="001E61B8"/>
    <w:rsid w:val="001E64F5"/>
    <w:rsid w:val="001E67AE"/>
    <w:rsid w:val="001F0D85"/>
    <w:rsid w:val="001F0E23"/>
    <w:rsid w:val="001F127B"/>
    <w:rsid w:val="001F28E0"/>
    <w:rsid w:val="001F2ABC"/>
    <w:rsid w:val="001F36D4"/>
    <w:rsid w:val="001F477F"/>
    <w:rsid w:val="001F4865"/>
    <w:rsid w:val="001F511E"/>
    <w:rsid w:val="001F513D"/>
    <w:rsid w:val="001F52A3"/>
    <w:rsid w:val="001F5435"/>
    <w:rsid w:val="001F544A"/>
    <w:rsid w:val="001F5D97"/>
    <w:rsid w:val="001F6585"/>
    <w:rsid w:val="001F7321"/>
    <w:rsid w:val="001F746D"/>
    <w:rsid w:val="0020170D"/>
    <w:rsid w:val="00201FFC"/>
    <w:rsid w:val="002024FA"/>
    <w:rsid w:val="002038D2"/>
    <w:rsid w:val="00203D96"/>
    <w:rsid w:val="00204455"/>
    <w:rsid w:val="00204BFE"/>
    <w:rsid w:val="00205B1E"/>
    <w:rsid w:val="00205D58"/>
    <w:rsid w:val="00205ED1"/>
    <w:rsid w:val="002061BF"/>
    <w:rsid w:val="0020730A"/>
    <w:rsid w:val="00207514"/>
    <w:rsid w:val="00207610"/>
    <w:rsid w:val="00207A2B"/>
    <w:rsid w:val="00207B95"/>
    <w:rsid w:val="0021384D"/>
    <w:rsid w:val="00214249"/>
    <w:rsid w:val="002145CA"/>
    <w:rsid w:val="0021498E"/>
    <w:rsid w:val="00214A32"/>
    <w:rsid w:val="002153B5"/>
    <w:rsid w:val="00215784"/>
    <w:rsid w:val="0021615D"/>
    <w:rsid w:val="00216231"/>
    <w:rsid w:val="00220990"/>
    <w:rsid w:val="00220BE1"/>
    <w:rsid w:val="00221308"/>
    <w:rsid w:val="00221855"/>
    <w:rsid w:val="00221CC7"/>
    <w:rsid w:val="002225B3"/>
    <w:rsid w:val="002225CB"/>
    <w:rsid w:val="00223583"/>
    <w:rsid w:val="002247C5"/>
    <w:rsid w:val="00224CB9"/>
    <w:rsid w:val="002252AF"/>
    <w:rsid w:val="002272F5"/>
    <w:rsid w:val="002277F6"/>
    <w:rsid w:val="00232383"/>
    <w:rsid w:val="002337FF"/>
    <w:rsid w:val="00233DA6"/>
    <w:rsid w:val="00233F55"/>
    <w:rsid w:val="002349F0"/>
    <w:rsid w:val="00234E68"/>
    <w:rsid w:val="00235A2A"/>
    <w:rsid w:val="00235E94"/>
    <w:rsid w:val="0023673E"/>
    <w:rsid w:val="002375D5"/>
    <w:rsid w:val="00237B0D"/>
    <w:rsid w:val="00237DAA"/>
    <w:rsid w:val="002401DA"/>
    <w:rsid w:val="00240D10"/>
    <w:rsid w:val="0024139C"/>
    <w:rsid w:val="00241D5F"/>
    <w:rsid w:val="00241DD8"/>
    <w:rsid w:val="00242D31"/>
    <w:rsid w:val="00243008"/>
    <w:rsid w:val="002434B6"/>
    <w:rsid w:val="002441B8"/>
    <w:rsid w:val="0024543A"/>
    <w:rsid w:val="00246B6E"/>
    <w:rsid w:val="00246C3B"/>
    <w:rsid w:val="0024717F"/>
    <w:rsid w:val="00247781"/>
    <w:rsid w:val="00250568"/>
    <w:rsid w:val="00250BA3"/>
    <w:rsid w:val="002510EE"/>
    <w:rsid w:val="002518F3"/>
    <w:rsid w:val="0025215C"/>
    <w:rsid w:val="00252588"/>
    <w:rsid w:val="00253D86"/>
    <w:rsid w:val="00253FA1"/>
    <w:rsid w:val="0025468B"/>
    <w:rsid w:val="0025625D"/>
    <w:rsid w:val="00256438"/>
    <w:rsid w:val="00256487"/>
    <w:rsid w:val="002603D3"/>
    <w:rsid w:val="00260D8D"/>
    <w:rsid w:val="00261C01"/>
    <w:rsid w:val="00262C2A"/>
    <w:rsid w:val="002632B0"/>
    <w:rsid w:val="00263C29"/>
    <w:rsid w:val="00264569"/>
    <w:rsid w:val="0026485C"/>
    <w:rsid w:val="002655E4"/>
    <w:rsid w:val="0026595E"/>
    <w:rsid w:val="00265CFF"/>
    <w:rsid w:val="00265EF2"/>
    <w:rsid w:val="002678EC"/>
    <w:rsid w:val="0027030D"/>
    <w:rsid w:val="0027041E"/>
    <w:rsid w:val="0027091D"/>
    <w:rsid w:val="00273060"/>
    <w:rsid w:val="00273136"/>
    <w:rsid w:val="0027378A"/>
    <w:rsid w:val="00273AA6"/>
    <w:rsid w:val="0027422C"/>
    <w:rsid w:val="00274F7C"/>
    <w:rsid w:val="002750ED"/>
    <w:rsid w:val="00276695"/>
    <w:rsid w:val="0027686A"/>
    <w:rsid w:val="002805E1"/>
    <w:rsid w:val="00280A84"/>
    <w:rsid w:val="00282E6F"/>
    <w:rsid w:val="00283C5E"/>
    <w:rsid w:val="00286194"/>
    <w:rsid w:val="00286FAE"/>
    <w:rsid w:val="002905FD"/>
    <w:rsid w:val="002910F3"/>
    <w:rsid w:val="00292A8C"/>
    <w:rsid w:val="00292E2E"/>
    <w:rsid w:val="00294BCC"/>
    <w:rsid w:val="00294E6C"/>
    <w:rsid w:val="002954BB"/>
    <w:rsid w:val="00295BBD"/>
    <w:rsid w:val="0029620D"/>
    <w:rsid w:val="002A2A22"/>
    <w:rsid w:val="002A2D36"/>
    <w:rsid w:val="002A2E74"/>
    <w:rsid w:val="002A4360"/>
    <w:rsid w:val="002A48B5"/>
    <w:rsid w:val="002A53F9"/>
    <w:rsid w:val="002A60D7"/>
    <w:rsid w:val="002A69C6"/>
    <w:rsid w:val="002A70B2"/>
    <w:rsid w:val="002A7E28"/>
    <w:rsid w:val="002B1ED8"/>
    <w:rsid w:val="002B5F88"/>
    <w:rsid w:val="002B6881"/>
    <w:rsid w:val="002B70DF"/>
    <w:rsid w:val="002B71B3"/>
    <w:rsid w:val="002B72AC"/>
    <w:rsid w:val="002C005A"/>
    <w:rsid w:val="002C0328"/>
    <w:rsid w:val="002C0C87"/>
    <w:rsid w:val="002C0F9D"/>
    <w:rsid w:val="002C1168"/>
    <w:rsid w:val="002C1273"/>
    <w:rsid w:val="002C130C"/>
    <w:rsid w:val="002C1EBC"/>
    <w:rsid w:val="002C30B3"/>
    <w:rsid w:val="002C42B4"/>
    <w:rsid w:val="002C58E1"/>
    <w:rsid w:val="002C67DF"/>
    <w:rsid w:val="002C6E4A"/>
    <w:rsid w:val="002C74E9"/>
    <w:rsid w:val="002D1AAD"/>
    <w:rsid w:val="002D2E4F"/>
    <w:rsid w:val="002D43BB"/>
    <w:rsid w:val="002D4661"/>
    <w:rsid w:val="002D4D38"/>
    <w:rsid w:val="002D4D5B"/>
    <w:rsid w:val="002D4E3B"/>
    <w:rsid w:val="002D4F11"/>
    <w:rsid w:val="002D6631"/>
    <w:rsid w:val="002D6822"/>
    <w:rsid w:val="002D69C6"/>
    <w:rsid w:val="002D7E1E"/>
    <w:rsid w:val="002E0510"/>
    <w:rsid w:val="002E100A"/>
    <w:rsid w:val="002E1B70"/>
    <w:rsid w:val="002E21E0"/>
    <w:rsid w:val="002E2884"/>
    <w:rsid w:val="002E2F6A"/>
    <w:rsid w:val="002E3406"/>
    <w:rsid w:val="002E3546"/>
    <w:rsid w:val="002E4186"/>
    <w:rsid w:val="002E4A01"/>
    <w:rsid w:val="002E4A3E"/>
    <w:rsid w:val="002E53F3"/>
    <w:rsid w:val="002E5499"/>
    <w:rsid w:val="002E621D"/>
    <w:rsid w:val="002E6B92"/>
    <w:rsid w:val="002E6C5E"/>
    <w:rsid w:val="002E6CF2"/>
    <w:rsid w:val="002E75F1"/>
    <w:rsid w:val="002E76EB"/>
    <w:rsid w:val="002E78E5"/>
    <w:rsid w:val="002F14BB"/>
    <w:rsid w:val="002F1BB6"/>
    <w:rsid w:val="002F1E30"/>
    <w:rsid w:val="002F2AF0"/>
    <w:rsid w:val="002F3CD3"/>
    <w:rsid w:val="002F451B"/>
    <w:rsid w:val="002F4F61"/>
    <w:rsid w:val="002F6C50"/>
    <w:rsid w:val="002F6E6C"/>
    <w:rsid w:val="002F774D"/>
    <w:rsid w:val="00300090"/>
    <w:rsid w:val="00300F21"/>
    <w:rsid w:val="003020A4"/>
    <w:rsid w:val="00303D99"/>
    <w:rsid w:val="003047EF"/>
    <w:rsid w:val="00304D80"/>
    <w:rsid w:val="00305388"/>
    <w:rsid w:val="00306914"/>
    <w:rsid w:val="00306D7A"/>
    <w:rsid w:val="00310165"/>
    <w:rsid w:val="00312068"/>
    <w:rsid w:val="003120C3"/>
    <w:rsid w:val="0031304C"/>
    <w:rsid w:val="003151B5"/>
    <w:rsid w:val="00315D2B"/>
    <w:rsid w:val="00315DA8"/>
    <w:rsid w:val="00316019"/>
    <w:rsid w:val="00316415"/>
    <w:rsid w:val="0031683B"/>
    <w:rsid w:val="00316BC7"/>
    <w:rsid w:val="00317078"/>
    <w:rsid w:val="003178F4"/>
    <w:rsid w:val="00320F15"/>
    <w:rsid w:val="003215C0"/>
    <w:rsid w:val="00322CC6"/>
    <w:rsid w:val="00323091"/>
    <w:rsid w:val="003230A6"/>
    <w:rsid w:val="003237B4"/>
    <w:rsid w:val="00323AC0"/>
    <w:rsid w:val="00324AA1"/>
    <w:rsid w:val="003252CE"/>
    <w:rsid w:val="00325966"/>
    <w:rsid w:val="0032604C"/>
    <w:rsid w:val="00327478"/>
    <w:rsid w:val="003276BD"/>
    <w:rsid w:val="003310D7"/>
    <w:rsid w:val="00331394"/>
    <w:rsid w:val="00331825"/>
    <w:rsid w:val="00332137"/>
    <w:rsid w:val="003339B9"/>
    <w:rsid w:val="00333B98"/>
    <w:rsid w:val="00333F26"/>
    <w:rsid w:val="003341E5"/>
    <w:rsid w:val="0033442A"/>
    <w:rsid w:val="00334B7F"/>
    <w:rsid w:val="00335066"/>
    <w:rsid w:val="00335337"/>
    <w:rsid w:val="003355C9"/>
    <w:rsid w:val="003356CC"/>
    <w:rsid w:val="00336591"/>
    <w:rsid w:val="00337B9A"/>
    <w:rsid w:val="0034014E"/>
    <w:rsid w:val="003410AC"/>
    <w:rsid w:val="00341365"/>
    <w:rsid w:val="00341B91"/>
    <w:rsid w:val="00342882"/>
    <w:rsid w:val="00342FA6"/>
    <w:rsid w:val="00343170"/>
    <w:rsid w:val="00343693"/>
    <w:rsid w:val="00343857"/>
    <w:rsid w:val="00343C57"/>
    <w:rsid w:val="00344C2E"/>
    <w:rsid w:val="0034569C"/>
    <w:rsid w:val="0034570F"/>
    <w:rsid w:val="0034671C"/>
    <w:rsid w:val="00347969"/>
    <w:rsid w:val="00350143"/>
    <w:rsid w:val="003503D7"/>
    <w:rsid w:val="003508BA"/>
    <w:rsid w:val="00351435"/>
    <w:rsid w:val="00352318"/>
    <w:rsid w:val="00352BF5"/>
    <w:rsid w:val="0035499A"/>
    <w:rsid w:val="00354CD6"/>
    <w:rsid w:val="003568E4"/>
    <w:rsid w:val="0035693D"/>
    <w:rsid w:val="00356EF6"/>
    <w:rsid w:val="00356F5B"/>
    <w:rsid w:val="00357327"/>
    <w:rsid w:val="00357587"/>
    <w:rsid w:val="00357617"/>
    <w:rsid w:val="00361D20"/>
    <w:rsid w:val="003622B6"/>
    <w:rsid w:val="0036405B"/>
    <w:rsid w:val="0036451E"/>
    <w:rsid w:val="003648AC"/>
    <w:rsid w:val="00365B0A"/>
    <w:rsid w:val="00365B1D"/>
    <w:rsid w:val="00367C70"/>
    <w:rsid w:val="00370B4F"/>
    <w:rsid w:val="003715D1"/>
    <w:rsid w:val="00371BC1"/>
    <w:rsid w:val="00372182"/>
    <w:rsid w:val="003722E7"/>
    <w:rsid w:val="00372415"/>
    <w:rsid w:val="00373C0D"/>
    <w:rsid w:val="00375217"/>
    <w:rsid w:val="00375B52"/>
    <w:rsid w:val="0037623A"/>
    <w:rsid w:val="00376A83"/>
    <w:rsid w:val="003770DB"/>
    <w:rsid w:val="00380844"/>
    <w:rsid w:val="00381393"/>
    <w:rsid w:val="003817DD"/>
    <w:rsid w:val="00383A49"/>
    <w:rsid w:val="00383D1C"/>
    <w:rsid w:val="00384D21"/>
    <w:rsid w:val="003853B6"/>
    <w:rsid w:val="0038679B"/>
    <w:rsid w:val="00386B97"/>
    <w:rsid w:val="0038769C"/>
    <w:rsid w:val="00387CE9"/>
    <w:rsid w:val="00387E5E"/>
    <w:rsid w:val="00387EE9"/>
    <w:rsid w:val="003913E1"/>
    <w:rsid w:val="00392F07"/>
    <w:rsid w:val="00394E16"/>
    <w:rsid w:val="00395919"/>
    <w:rsid w:val="00395AC4"/>
    <w:rsid w:val="00396E63"/>
    <w:rsid w:val="00396EE2"/>
    <w:rsid w:val="003973D3"/>
    <w:rsid w:val="00397626"/>
    <w:rsid w:val="00397A7B"/>
    <w:rsid w:val="003A0128"/>
    <w:rsid w:val="003A28CA"/>
    <w:rsid w:val="003A2FFE"/>
    <w:rsid w:val="003A5266"/>
    <w:rsid w:val="003A5A21"/>
    <w:rsid w:val="003A6344"/>
    <w:rsid w:val="003A6BAE"/>
    <w:rsid w:val="003B3036"/>
    <w:rsid w:val="003B32E0"/>
    <w:rsid w:val="003B5017"/>
    <w:rsid w:val="003C0BFC"/>
    <w:rsid w:val="003C0D5B"/>
    <w:rsid w:val="003C2196"/>
    <w:rsid w:val="003C220D"/>
    <w:rsid w:val="003C27E3"/>
    <w:rsid w:val="003C2CB2"/>
    <w:rsid w:val="003C2DFA"/>
    <w:rsid w:val="003C32BF"/>
    <w:rsid w:val="003C3423"/>
    <w:rsid w:val="003C53DB"/>
    <w:rsid w:val="003C552F"/>
    <w:rsid w:val="003C55E8"/>
    <w:rsid w:val="003C5610"/>
    <w:rsid w:val="003C6406"/>
    <w:rsid w:val="003C6F01"/>
    <w:rsid w:val="003C72D0"/>
    <w:rsid w:val="003C73E1"/>
    <w:rsid w:val="003C7E10"/>
    <w:rsid w:val="003C7EDD"/>
    <w:rsid w:val="003D0BC9"/>
    <w:rsid w:val="003D3021"/>
    <w:rsid w:val="003D3511"/>
    <w:rsid w:val="003D3810"/>
    <w:rsid w:val="003D44F6"/>
    <w:rsid w:val="003D478C"/>
    <w:rsid w:val="003D4998"/>
    <w:rsid w:val="003D50B8"/>
    <w:rsid w:val="003D5EBA"/>
    <w:rsid w:val="003D63CF"/>
    <w:rsid w:val="003D7568"/>
    <w:rsid w:val="003E0545"/>
    <w:rsid w:val="003E0C2A"/>
    <w:rsid w:val="003E279F"/>
    <w:rsid w:val="003E31BB"/>
    <w:rsid w:val="003E3474"/>
    <w:rsid w:val="003E3D10"/>
    <w:rsid w:val="003E3F2B"/>
    <w:rsid w:val="003E47DD"/>
    <w:rsid w:val="003E49BF"/>
    <w:rsid w:val="003E4CD8"/>
    <w:rsid w:val="003E4D5E"/>
    <w:rsid w:val="003E503F"/>
    <w:rsid w:val="003E5161"/>
    <w:rsid w:val="003E78AF"/>
    <w:rsid w:val="003E7EA8"/>
    <w:rsid w:val="003F0BFF"/>
    <w:rsid w:val="003F21FE"/>
    <w:rsid w:val="003F22F9"/>
    <w:rsid w:val="003F2D09"/>
    <w:rsid w:val="003F5177"/>
    <w:rsid w:val="003F56B8"/>
    <w:rsid w:val="003F5EAF"/>
    <w:rsid w:val="003F605F"/>
    <w:rsid w:val="003F6538"/>
    <w:rsid w:val="003F695E"/>
    <w:rsid w:val="003F6E0B"/>
    <w:rsid w:val="0040007E"/>
    <w:rsid w:val="0040057D"/>
    <w:rsid w:val="00400835"/>
    <w:rsid w:val="00400AEC"/>
    <w:rsid w:val="00401F93"/>
    <w:rsid w:val="00402AE7"/>
    <w:rsid w:val="00402E2E"/>
    <w:rsid w:val="00403C53"/>
    <w:rsid w:val="0040523B"/>
    <w:rsid w:val="00406910"/>
    <w:rsid w:val="0040700F"/>
    <w:rsid w:val="00407722"/>
    <w:rsid w:val="00407DFD"/>
    <w:rsid w:val="00407EF2"/>
    <w:rsid w:val="00410637"/>
    <w:rsid w:val="0041127B"/>
    <w:rsid w:val="00411611"/>
    <w:rsid w:val="00412038"/>
    <w:rsid w:val="00413F53"/>
    <w:rsid w:val="00414991"/>
    <w:rsid w:val="00414B2C"/>
    <w:rsid w:val="00414E1A"/>
    <w:rsid w:val="0041538F"/>
    <w:rsid w:val="0041660B"/>
    <w:rsid w:val="0041673D"/>
    <w:rsid w:val="00416FE1"/>
    <w:rsid w:val="00417200"/>
    <w:rsid w:val="004207D3"/>
    <w:rsid w:val="00420B3F"/>
    <w:rsid w:val="00421106"/>
    <w:rsid w:val="0042115D"/>
    <w:rsid w:val="0042141B"/>
    <w:rsid w:val="00421BD6"/>
    <w:rsid w:val="00421EA3"/>
    <w:rsid w:val="0042211F"/>
    <w:rsid w:val="00423030"/>
    <w:rsid w:val="004242D8"/>
    <w:rsid w:val="00424D58"/>
    <w:rsid w:val="0042590A"/>
    <w:rsid w:val="004265B2"/>
    <w:rsid w:val="00426A1D"/>
    <w:rsid w:val="00426C84"/>
    <w:rsid w:val="00427FBE"/>
    <w:rsid w:val="00430374"/>
    <w:rsid w:val="00430414"/>
    <w:rsid w:val="00430BFC"/>
    <w:rsid w:val="0043180D"/>
    <w:rsid w:val="00432D48"/>
    <w:rsid w:val="0043321B"/>
    <w:rsid w:val="00433453"/>
    <w:rsid w:val="004338C0"/>
    <w:rsid w:val="004347AE"/>
    <w:rsid w:val="00434863"/>
    <w:rsid w:val="00435504"/>
    <w:rsid w:val="00435BB8"/>
    <w:rsid w:val="00436582"/>
    <w:rsid w:val="00436896"/>
    <w:rsid w:val="00436F93"/>
    <w:rsid w:val="00437254"/>
    <w:rsid w:val="0043755C"/>
    <w:rsid w:val="004377D6"/>
    <w:rsid w:val="00440913"/>
    <w:rsid w:val="00440D63"/>
    <w:rsid w:val="00441DF3"/>
    <w:rsid w:val="00442802"/>
    <w:rsid w:val="004429AC"/>
    <w:rsid w:val="0044334B"/>
    <w:rsid w:val="00444010"/>
    <w:rsid w:val="0044413A"/>
    <w:rsid w:val="00444984"/>
    <w:rsid w:val="004451B6"/>
    <w:rsid w:val="00445F49"/>
    <w:rsid w:val="00447065"/>
    <w:rsid w:val="00450D02"/>
    <w:rsid w:val="00452DF5"/>
    <w:rsid w:val="004543D7"/>
    <w:rsid w:val="00454493"/>
    <w:rsid w:val="004554F6"/>
    <w:rsid w:val="00455CDA"/>
    <w:rsid w:val="004564D2"/>
    <w:rsid w:val="004567D6"/>
    <w:rsid w:val="00457EFB"/>
    <w:rsid w:val="004607D6"/>
    <w:rsid w:val="00460ABC"/>
    <w:rsid w:val="00461708"/>
    <w:rsid w:val="00462B8C"/>
    <w:rsid w:val="0046338D"/>
    <w:rsid w:val="004633A7"/>
    <w:rsid w:val="004638D9"/>
    <w:rsid w:val="00464080"/>
    <w:rsid w:val="004647B2"/>
    <w:rsid w:val="00464961"/>
    <w:rsid w:val="00464D5F"/>
    <w:rsid w:val="004652A7"/>
    <w:rsid w:val="00465EE7"/>
    <w:rsid w:val="00466475"/>
    <w:rsid w:val="00466E6F"/>
    <w:rsid w:val="00467188"/>
    <w:rsid w:val="00467203"/>
    <w:rsid w:val="00467302"/>
    <w:rsid w:val="00467B14"/>
    <w:rsid w:val="00467BAF"/>
    <w:rsid w:val="00467D57"/>
    <w:rsid w:val="004764E3"/>
    <w:rsid w:val="00477471"/>
    <w:rsid w:val="004815A4"/>
    <w:rsid w:val="004818F7"/>
    <w:rsid w:val="00481C30"/>
    <w:rsid w:val="00482BF5"/>
    <w:rsid w:val="0048331E"/>
    <w:rsid w:val="00483BFF"/>
    <w:rsid w:val="00484DF2"/>
    <w:rsid w:val="00484EC5"/>
    <w:rsid w:val="00484FD7"/>
    <w:rsid w:val="00485D73"/>
    <w:rsid w:val="004867DD"/>
    <w:rsid w:val="00486960"/>
    <w:rsid w:val="00487A34"/>
    <w:rsid w:val="00487FD9"/>
    <w:rsid w:val="00491E2F"/>
    <w:rsid w:val="0049202C"/>
    <w:rsid w:val="0049226C"/>
    <w:rsid w:val="00493590"/>
    <w:rsid w:val="00494FD5"/>
    <w:rsid w:val="0049547D"/>
    <w:rsid w:val="0049771E"/>
    <w:rsid w:val="00497A73"/>
    <w:rsid w:val="00497D48"/>
    <w:rsid w:val="00497EF5"/>
    <w:rsid w:val="004A192F"/>
    <w:rsid w:val="004A3552"/>
    <w:rsid w:val="004A456D"/>
    <w:rsid w:val="004A5295"/>
    <w:rsid w:val="004A5451"/>
    <w:rsid w:val="004A56AB"/>
    <w:rsid w:val="004A57D9"/>
    <w:rsid w:val="004A7715"/>
    <w:rsid w:val="004B07B1"/>
    <w:rsid w:val="004B087B"/>
    <w:rsid w:val="004B09CF"/>
    <w:rsid w:val="004B0DDE"/>
    <w:rsid w:val="004B0EA5"/>
    <w:rsid w:val="004B11D7"/>
    <w:rsid w:val="004B4D20"/>
    <w:rsid w:val="004B5200"/>
    <w:rsid w:val="004B5ECB"/>
    <w:rsid w:val="004B6105"/>
    <w:rsid w:val="004B6A36"/>
    <w:rsid w:val="004B6B31"/>
    <w:rsid w:val="004B6C41"/>
    <w:rsid w:val="004C0747"/>
    <w:rsid w:val="004C0826"/>
    <w:rsid w:val="004C093F"/>
    <w:rsid w:val="004C29BD"/>
    <w:rsid w:val="004C4004"/>
    <w:rsid w:val="004C4B61"/>
    <w:rsid w:val="004C4BD4"/>
    <w:rsid w:val="004C52BC"/>
    <w:rsid w:val="004C6F20"/>
    <w:rsid w:val="004C7908"/>
    <w:rsid w:val="004C7C0E"/>
    <w:rsid w:val="004D0953"/>
    <w:rsid w:val="004D0D40"/>
    <w:rsid w:val="004D3170"/>
    <w:rsid w:val="004D3F77"/>
    <w:rsid w:val="004D489C"/>
    <w:rsid w:val="004D52F4"/>
    <w:rsid w:val="004D5C6E"/>
    <w:rsid w:val="004D7461"/>
    <w:rsid w:val="004E018B"/>
    <w:rsid w:val="004E15CE"/>
    <w:rsid w:val="004E1AEC"/>
    <w:rsid w:val="004E1CD3"/>
    <w:rsid w:val="004E3857"/>
    <w:rsid w:val="004E70B0"/>
    <w:rsid w:val="004E727C"/>
    <w:rsid w:val="004F011F"/>
    <w:rsid w:val="004F094F"/>
    <w:rsid w:val="004F1148"/>
    <w:rsid w:val="004F11D2"/>
    <w:rsid w:val="004F1D1F"/>
    <w:rsid w:val="004F3644"/>
    <w:rsid w:val="004F3E08"/>
    <w:rsid w:val="004F41AF"/>
    <w:rsid w:val="004F6DE4"/>
    <w:rsid w:val="004F77A9"/>
    <w:rsid w:val="004F7AFB"/>
    <w:rsid w:val="004F7C02"/>
    <w:rsid w:val="00502885"/>
    <w:rsid w:val="00502AF5"/>
    <w:rsid w:val="00502C59"/>
    <w:rsid w:val="00503B1E"/>
    <w:rsid w:val="00504F59"/>
    <w:rsid w:val="005053A8"/>
    <w:rsid w:val="00505520"/>
    <w:rsid w:val="005067B0"/>
    <w:rsid w:val="00506EC9"/>
    <w:rsid w:val="00512118"/>
    <w:rsid w:val="00512833"/>
    <w:rsid w:val="00513445"/>
    <w:rsid w:val="0051364C"/>
    <w:rsid w:val="00514CF4"/>
    <w:rsid w:val="00515DD2"/>
    <w:rsid w:val="00516FB8"/>
    <w:rsid w:val="00521ECC"/>
    <w:rsid w:val="00524FD6"/>
    <w:rsid w:val="00526E6F"/>
    <w:rsid w:val="005274F1"/>
    <w:rsid w:val="00527877"/>
    <w:rsid w:val="0053068A"/>
    <w:rsid w:val="00530EFE"/>
    <w:rsid w:val="00530F3B"/>
    <w:rsid w:val="00531011"/>
    <w:rsid w:val="00531E30"/>
    <w:rsid w:val="00532A8D"/>
    <w:rsid w:val="00534937"/>
    <w:rsid w:val="00534EF8"/>
    <w:rsid w:val="005358BF"/>
    <w:rsid w:val="00535A17"/>
    <w:rsid w:val="00536120"/>
    <w:rsid w:val="0053640B"/>
    <w:rsid w:val="005407EF"/>
    <w:rsid w:val="00540BA1"/>
    <w:rsid w:val="00540E42"/>
    <w:rsid w:val="005414DD"/>
    <w:rsid w:val="0054169E"/>
    <w:rsid w:val="00541A91"/>
    <w:rsid w:val="005430EE"/>
    <w:rsid w:val="00543EDC"/>
    <w:rsid w:val="00544C0E"/>
    <w:rsid w:val="0054514D"/>
    <w:rsid w:val="00545746"/>
    <w:rsid w:val="00546364"/>
    <w:rsid w:val="00546E3A"/>
    <w:rsid w:val="00547999"/>
    <w:rsid w:val="00550F0E"/>
    <w:rsid w:val="005532DD"/>
    <w:rsid w:val="00553453"/>
    <w:rsid w:val="00553A03"/>
    <w:rsid w:val="00554362"/>
    <w:rsid w:val="00554D5F"/>
    <w:rsid w:val="0055521A"/>
    <w:rsid w:val="00555D9F"/>
    <w:rsid w:val="005562CD"/>
    <w:rsid w:val="0055657F"/>
    <w:rsid w:val="005571DB"/>
    <w:rsid w:val="00563B2E"/>
    <w:rsid w:val="00563B65"/>
    <w:rsid w:val="00564FD4"/>
    <w:rsid w:val="005650FB"/>
    <w:rsid w:val="00565880"/>
    <w:rsid w:val="00566323"/>
    <w:rsid w:val="005664BA"/>
    <w:rsid w:val="00566B12"/>
    <w:rsid w:val="00566C56"/>
    <w:rsid w:val="00571A4D"/>
    <w:rsid w:val="00571E27"/>
    <w:rsid w:val="00573546"/>
    <w:rsid w:val="005737EF"/>
    <w:rsid w:val="00573A6B"/>
    <w:rsid w:val="00574770"/>
    <w:rsid w:val="00574BF1"/>
    <w:rsid w:val="00575295"/>
    <w:rsid w:val="0057566F"/>
    <w:rsid w:val="00575BA0"/>
    <w:rsid w:val="00575D21"/>
    <w:rsid w:val="0057656E"/>
    <w:rsid w:val="005765FC"/>
    <w:rsid w:val="00576F9E"/>
    <w:rsid w:val="00580E2B"/>
    <w:rsid w:val="00581ED8"/>
    <w:rsid w:val="005825D4"/>
    <w:rsid w:val="00582799"/>
    <w:rsid w:val="005834A9"/>
    <w:rsid w:val="00583E5B"/>
    <w:rsid w:val="00585082"/>
    <w:rsid w:val="00585504"/>
    <w:rsid w:val="005875C6"/>
    <w:rsid w:val="005875F9"/>
    <w:rsid w:val="005877B3"/>
    <w:rsid w:val="005904CA"/>
    <w:rsid w:val="0059145F"/>
    <w:rsid w:val="00592240"/>
    <w:rsid w:val="00593445"/>
    <w:rsid w:val="00593A47"/>
    <w:rsid w:val="00593C57"/>
    <w:rsid w:val="00593E63"/>
    <w:rsid w:val="00594220"/>
    <w:rsid w:val="00594CD1"/>
    <w:rsid w:val="0059555D"/>
    <w:rsid w:val="00595BF2"/>
    <w:rsid w:val="00595D58"/>
    <w:rsid w:val="005974E5"/>
    <w:rsid w:val="0059766A"/>
    <w:rsid w:val="0059785F"/>
    <w:rsid w:val="0059799D"/>
    <w:rsid w:val="005A1AD1"/>
    <w:rsid w:val="005A2E7E"/>
    <w:rsid w:val="005A2FFD"/>
    <w:rsid w:val="005A3001"/>
    <w:rsid w:val="005A36BE"/>
    <w:rsid w:val="005A4CA6"/>
    <w:rsid w:val="005A5531"/>
    <w:rsid w:val="005A6996"/>
    <w:rsid w:val="005A7201"/>
    <w:rsid w:val="005A7560"/>
    <w:rsid w:val="005A7817"/>
    <w:rsid w:val="005B0198"/>
    <w:rsid w:val="005B14FB"/>
    <w:rsid w:val="005B20DB"/>
    <w:rsid w:val="005B2936"/>
    <w:rsid w:val="005B2BB7"/>
    <w:rsid w:val="005B3704"/>
    <w:rsid w:val="005B4724"/>
    <w:rsid w:val="005B4794"/>
    <w:rsid w:val="005B4810"/>
    <w:rsid w:val="005B67DC"/>
    <w:rsid w:val="005C0016"/>
    <w:rsid w:val="005C0D5F"/>
    <w:rsid w:val="005C1A0C"/>
    <w:rsid w:val="005C20C3"/>
    <w:rsid w:val="005C2DA7"/>
    <w:rsid w:val="005C442F"/>
    <w:rsid w:val="005C4591"/>
    <w:rsid w:val="005C48A0"/>
    <w:rsid w:val="005C54C3"/>
    <w:rsid w:val="005C5B9C"/>
    <w:rsid w:val="005C6D04"/>
    <w:rsid w:val="005D0105"/>
    <w:rsid w:val="005D08FD"/>
    <w:rsid w:val="005D1079"/>
    <w:rsid w:val="005D29A7"/>
    <w:rsid w:val="005D42A7"/>
    <w:rsid w:val="005D43CC"/>
    <w:rsid w:val="005D4685"/>
    <w:rsid w:val="005D6D78"/>
    <w:rsid w:val="005D6DE3"/>
    <w:rsid w:val="005E06E7"/>
    <w:rsid w:val="005E0B72"/>
    <w:rsid w:val="005E0BDC"/>
    <w:rsid w:val="005E2291"/>
    <w:rsid w:val="005E2719"/>
    <w:rsid w:val="005E480D"/>
    <w:rsid w:val="005E4FD2"/>
    <w:rsid w:val="005E63E3"/>
    <w:rsid w:val="005E79C4"/>
    <w:rsid w:val="005F026A"/>
    <w:rsid w:val="005F04B5"/>
    <w:rsid w:val="005F0598"/>
    <w:rsid w:val="005F0EA4"/>
    <w:rsid w:val="005F0FE5"/>
    <w:rsid w:val="005F10DF"/>
    <w:rsid w:val="005F1BA8"/>
    <w:rsid w:val="005F2868"/>
    <w:rsid w:val="005F2D81"/>
    <w:rsid w:val="005F468E"/>
    <w:rsid w:val="005F48A7"/>
    <w:rsid w:val="005F5B8E"/>
    <w:rsid w:val="005F67BD"/>
    <w:rsid w:val="005F68AE"/>
    <w:rsid w:val="005F68B3"/>
    <w:rsid w:val="005F7319"/>
    <w:rsid w:val="00600612"/>
    <w:rsid w:val="00600707"/>
    <w:rsid w:val="00600A4D"/>
    <w:rsid w:val="00600D81"/>
    <w:rsid w:val="00602B6C"/>
    <w:rsid w:val="00602EF1"/>
    <w:rsid w:val="00603E07"/>
    <w:rsid w:val="00604931"/>
    <w:rsid w:val="006052AF"/>
    <w:rsid w:val="0060573F"/>
    <w:rsid w:val="006059B7"/>
    <w:rsid w:val="00606DB2"/>
    <w:rsid w:val="0060702F"/>
    <w:rsid w:val="0060706A"/>
    <w:rsid w:val="00610B02"/>
    <w:rsid w:val="006114B6"/>
    <w:rsid w:val="006126BC"/>
    <w:rsid w:val="0061399E"/>
    <w:rsid w:val="0061481C"/>
    <w:rsid w:val="0061509E"/>
    <w:rsid w:val="006155D9"/>
    <w:rsid w:val="006159A2"/>
    <w:rsid w:val="00615CAF"/>
    <w:rsid w:val="00617037"/>
    <w:rsid w:val="00617C8E"/>
    <w:rsid w:val="00620050"/>
    <w:rsid w:val="00620CA8"/>
    <w:rsid w:val="0062376B"/>
    <w:rsid w:val="00624CCD"/>
    <w:rsid w:val="006252FE"/>
    <w:rsid w:val="006262E5"/>
    <w:rsid w:val="006263ED"/>
    <w:rsid w:val="00626462"/>
    <w:rsid w:val="00626AE5"/>
    <w:rsid w:val="00627F82"/>
    <w:rsid w:val="006308E3"/>
    <w:rsid w:val="00631328"/>
    <w:rsid w:val="0063191F"/>
    <w:rsid w:val="00631920"/>
    <w:rsid w:val="00631AE8"/>
    <w:rsid w:val="00632517"/>
    <w:rsid w:val="0063405E"/>
    <w:rsid w:val="00634597"/>
    <w:rsid w:val="00635325"/>
    <w:rsid w:val="00636CA3"/>
    <w:rsid w:val="00636E5F"/>
    <w:rsid w:val="0063709F"/>
    <w:rsid w:val="006371DE"/>
    <w:rsid w:val="006374E5"/>
    <w:rsid w:val="00637FC0"/>
    <w:rsid w:val="006409B2"/>
    <w:rsid w:val="00640B40"/>
    <w:rsid w:val="00642C50"/>
    <w:rsid w:val="00643B7D"/>
    <w:rsid w:val="00643DB0"/>
    <w:rsid w:val="00643F08"/>
    <w:rsid w:val="0064432A"/>
    <w:rsid w:val="0064499F"/>
    <w:rsid w:val="006459E7"/>
    <w:rsid w:val="00645D30"/>
    <w:rsid w:val="006469DD"/>
    <w:rsid w:val="00646DE6"/>
    <w:rsid w:val="0064781F"/>
    <w:rsid w:val="00650906"/>
    <w:rsid w:val="00650910"/>
    <w:rsid w:val="00652FE7"/>
    <w:rsid w:val="00653C98"/>
    <w:rsid w:val="00653D95"/>
    <w:rsid w:val="006540A6"/>
    <w:rsid w:val="00654BDF"/>
    <w:rsid w:val="006557C7"/>
    <w:rsid w:val="00655C1C"/>
    <w:rsid w:val="006564A2"/>
    <w:rsid w:val="00656F12"/>
    <w:rsid w:val="0065707C"/>
    <w:rsid w:val="00657249"/>
    <w:rsid w:val="006575B7"/>
    <w:rsid w:val="00660814"/>
    <w:rsid w:val="006609AD"/>
    <w:rsid w:val="0066313B"/>
    <w:rsid w:val="006634EF"/>
    <w:rsid w:val="006653F0"/>
    <w:rsid w:val="0066639D"/>
    <w:rsid w:val="006665AD"/>
    <w:rsid w:val="00666862"/>
    <w:rsid w:val="00666A95"/>
    <w:rsid w:val="00666C6B"/>
    <w:rsid w:val="0066714E"/>
    <w:rsid w:val="00670209"/>
    <w:rsid w:val="00670EFE"/>
    <w:rsid w:val="00672BB1"/>
    <w:rsid w:val="00673963"/>
    <w:rsid w:val="00673C46"/>
    <w:rsid w:val="00674062"/>
    <w:rsid w:val="006747AE"/>
    <w:rsid w:val="00674F64"/>
    <w:rsid w:val="006801D2"/>
    <w:rsid w:val="0068098A"/>
    <w:rsid w:val="0068130F"/>
    <w:rsid w:val="0068137B"/>
    <w:rsid w:val="00683985"/>
    <w:rsid w:val="00684A2F"/>
    <w:rsid w:val="00684ADE"/>
    <w:rsid w:val="006854FC"/>
    <w:rsid w:val="006872BE"/>
    <w:rsid w:val="00687881"/>
    <w:rsid w:val="00687ADB"/>
    <w:rsid w:val="0069037E"/>
    <w:rsid w:val="006907A8"/>
    <w:rsid w:val="0069209E"/>
    <w:rsid w:val="00692C6E"/>
    <w:rsid w:val="00693B48"/>
    <w:rsid w:val="00693D81"/>
    <w:rsid w:val="00693E04"/>
    <w:rsid w:val="00694AE4"/>
    <w:rsid w:val="00695331"/>
    <w:rsid w:val="0069753B"/>
    <w:rsid w:val="00697901"/>
    <w:rsid w:val="006979B1"/>
    <w:rsid w:val="006A17BA"/>
    <w:rsid w:val="006A1B04"/>
    <w:rsid w:val="006A36C4"/>
    <w:rsid w:val="006A3969"/>
    <w:rsid w:val="006A3E5D"/>
    <w:rsid w:val="006A47AC"/>
    <w:rsid w:val="006A694E"/>
    <w:rsid w:val="006A6BFC"/>
    <w:rsid w:val="006A770B"/>
    <w:rsid w:val="006A780B"/>
    <w:rsid w:val="006B03BC"/>
    <w:rsid w:val="006B065B"/>
    <w:rsid w:val="006B0B9B"/>
    <w:rsid w:val="006B107C"/>
    <w:rsid w:val="006B1C81"/>
    <w:rsid w:val="006B30C6"/>
    <w:rsid w:val="006B32FE"/>
    <w:rsid w:val="006B4F8D"/>
    <w:rsid w:val="006B5084"/>
    <w:rsid w:val="006B69A3"/>
    <w:rsid w:val="006B6FD4"/>
    <w:rsid w:val="006B7524"/>
    <w:rsid w:val="006B7CE5"/>
    <w:rsid w:val="006C032A"/>
    <w:rsid w:val="006C0625"/>
    <w:rsid w:val="006C0EAC"/>
    <w:rsid w:val="006C16FF"/>
    <w:rsid w:val="006C1AB1"/>
    <w:rsid w:val="006C2473"/>
    <w:rsid w:val="006C2630"/>
    <w:rsid w:val="006C3AF0"/>
    <w:rsid w:val="006C5741"/>
    <w:rsid w:val="006C5986"/>
    <w:rsid w:val="006C653F"/>
    <w:rsid w:val="006C65FD"/>
    <w:rsid w:val="006C7452"/>
    <w:rsid w:val="006C7956"/>
    <w:rsid w:val="006C7D1F"/>
    <w:rsid w:val="006D1478"/>
    <w:rsid w:val="006D2A7B"/>
    <w:rsid w:val="006D30F9"/>
    <w:rsid w:val="006D4079"/>
    <w:rsid w:val="006D6640"/>
    <w:rsid w:val="006D6736"/>
    <w:rsid w:val="006D6DD5"/>
    <w:rsid w:val="006D708C"/>
    <w:rsid w:val="006D74B7"/>
    <w:rsid w:val="006D7D41"/>
    <w:rsid w:val="006E0225"/>
    <w:rsid w:val="006E187C"/>
    <w:rsid w:val="006E2494"/>
    <w:rsid w:val="006E251E"/>
    <w:rsid w:val="006E3D29"/>
    <w:rsid w:val="006E3FB2"/>
    <w:rsid w:val="006E4BE4"/>
    <w:rsid w:val="006E4D0C"/>
    <w:rsid w:val="006E6807"/>
    <w:rsid w:val="006E699A"/>
    <w:rsid w:val="006E6D83"/>
    <w:rsid w:val="006E7016"/>
    <w:rsid w:val="006F0BB4"/>
    <w:rsid w:val="006F1537"/>
    <w:rsid w:val="006F1BA5"/>
    <w:rsid w:val="006F2D8A"/>
    <w:rsid w:val="006F39C9"/>
    <w:rsid w:val="006F5620"/>
    <w:rsid w:val="006F5D11"/>
    <w:rsid w:val="006F6B59"/>
    <w:rsid w:val="006F6B9C"/>
    <w:rsid w:val="006F72D0"/>
    <w:rsid w:val="007003F3"/>
    <w:rsid w:val="007039A7"/>
    <w:rsid w:val="00706398"/>
    <w:rsid w:val="00706795"/>
    <w:rsid w:val="00706D52"/>
    <w:rsid w:val="0071023D"/>
    <w:rsid w:val="0071073B"/>
    <w:rsid w:val="007108C5"/>
    <w:rsid w:val="00711B37"/>
    <w:rsid w:val="00711E51"/>
    <w:rsid w:val="007124AB"/>
    <w:rsid w:val="007140D6"/>
    <w:rsid w:val="00715E2B"/>
    <w:rsid w:val="00716661"/>
    <w:rsid w:val="00716808"/>
    <w:rsid w:val="00716C7C"/>
    <w:rsid w:val="0071719A"/>
    <w:rsid w:val="0072001F"/>
    <w:rsid w:val="0072022F"/>
    <w:rsid w:val="00720A63"/>
    <w:rsid w:val="00721641"/>
    <w:rsid w:val="00721830"/>
    <w:rsid w:val="00721E73"/>
    <w:rsid w:val="007225E4"/>
    <w:rsid w:val="00722B77"/>
    <w:rsid w:val="0072525D"/>
    <w:rsid w:val="00725F69"/>
    <w:rsid w:val="00726787"/>
    <w:rsid w:val="007268BA"/>
    <w:rsid w:val="00726B91"/>
    <w:rsid w:val="0073083D"/>
    <w:rsid w:val="007327FF"/>
    <w:rsid w:val="00733322"/>
    <w:rsid w:val="0073474B"/>
    <w:rsid w:val="00734ECC"/>
    <w:rsid w:val="00735290"/>
    <w:rsid w:val="007355B4"/>
    <w:rsid w:val="007362BD"/>
    <w:rsid w:val="0073656A"/>
    <w:rsid w:val="0073696A"/>
    <w:rsid w:val="007371B5"/>
    <w:rsid w:val="007379FA"/>
    <w:rsid w:val="00737F14"/>
    <w:rsid w:val="00737F95"/>
    <w:rsid w:val="00740602"/>
    <w:rsid w:val="00740F3C"/>
    <w:rsid w:val="007416F8"/>
    <w:rsid w:val="00741E47"/>
    <w:rsid w:val="00741E4E"/>
    <w:rsid w:val="007420CC"/>
    <w:rsid w:val="007434DE"/>
    <w:rsid w:val="007436D4"/>
    <w:rsid w:val="00744E90"/>
    <w:rsid w:val="0074513A"/>
    <w:rsid w:val="007452CF"/>
    <w:rsid w:val="00746D10"/>
    <w:rsid w:val="00747D8A"/>
    <w:rsid w:val="007502A5"/>
    <w:rsid w:val="007506A6"/>
    <w:rsid w:val="00750CD2"/>
    <w:rsid w:val="0075239C"/>
    <w:rsid w:val="00752827"/>
    <w:rsid w:val="00753C83"/>
    <w:rsid w:val="00755B91"/>
    <w:rsid w:val="00755F52"/>
    <w:rsid w:val="00760ADC"/>
    <w:rsid w:val="007613B6"/>
    <w:rsid w:val="007617B8"/>
    <w:rsid w:val="00762050"/>
    <w:rsid w:val="007621D9"/>
    <w:rsid w:val="00762F22"/>
    <w:rsid w:val="00763C76"/>
    <w:rsid w:val="00765603"/>
    <w:rsid w:val="00766217"/>
    <w:rsid w:val="00766400"/>
    <w:rsid w:val="00766DA5"/>
    <w:rsid w:val="007678F9"/>
    <w:rsid w:val="007704EA"/>
    <w:rsid w:val="00770529"/>
    <w:rsid w:val="007714C4"/>
    <w:rsid w:val="0077230B"/>
    <w:rsid w:val="007731F1"/>
    <w:rsid w:val="00774E09"/>
    <w:rsid w:val="00774FEA"/>
    <w:rsid w:val="0077569A"/>
    <w:rsid w:val="00775AC3"/>
    <w:rsid w:val="00775C24"/>
    <w:rsid w:val="00776183"/>
    <w:rsid w:val="007766F9"/>
    <w:rsid w:val="00776F96"/>
    <w:rsid w:val="00777A5E"/>
    <w:rsid w:val="00781D89"/>
    <w:rsid w:val="00783D67"/>
    <w:rsid w:val="007840E9"/>
    <w:rsid w:val="00784BB2"/>
    <w:rsid w:val="007853F7"/>
    <w:rsid w:val="0078581E"/>
    <w:rsid w:val="00785DEB"/>
    <w:rsid w:val="00787CDD"/>
    <w:rsid w:val="0079031E"/>
    <w:rsid w:val="007912A2"/>
    <w:rsid w:val="00791E70"/>
    <w:rsid w:val="00792313"/>
    <w:rsid w:val="00792B65"/>
    <w:rsid w:val="00792E5D"/>
    <w:rsid w:val="00793ADD"/>
    <w:rsid w:val="007940D1"/>
    <w:rsid w:val="00794233"/>
    <w:rsid w:val="00794D8A"/>
    <w:rsid w:val="007953D6"/>
    <w:rsid w:val="00796353"/>
    <w:rsid w:val="00796D6F"/>
    <w:rsid w:val="007977AE"/>
    <w:rsid w:val="00797B18"/>
    <w:rsid w:val="007A02CE"/>
    <w:rsid w:val="007A1D40"/>
    <w:rsid w:val="007A276E"/>
    <w:rsid w:val="007A32A0"/>
    <w:rsid w:val="007A5366"/>
    <w:rsid w:val="007A5B6E"/>
    <w:rsid w:val="007A6229"/>
    <w:rsid w:val="007A629C"/>
    <w:rsid w:val="007A65F1"/>
    <w:rsid w:val="007A725D"/>
    <w:rsid w:val="007A76E7"/>
    <w:rsid w:val="007A7BC0"/>
    <w:rsid w:val="007B0356"/>
    <w:rsid w:val="007B1671"/>
    <w:rsid w:val="007B1BE7"/>
    <w:rsid w:val="007B1E11"/>
    <w:rsid w:val="007B21BB"/>
    <w:rsid w:val="007B28B2"/>
    <w:rsid w:val="007B2F87"/>
    <w:rsid w:val="007B3554"/>
    <w:rsid w:val="007B3F8E"/>
    <w:rsid w:val="007B461D"/>
    <w:rsid w:val="007B51A3"/>
    <w:rsid w:val="007B5864"/>
    <w:rsid w:val="007B7E62"/>
    <w:rsid w:val="007C0774"/>
    <w:rsid w:val="007C0A93"/>
    <w:rsid w:val="007C1910"/>
    <w:rsid w:val="007C1A04"/>
    <w:rsid w:val="007C1B01"/>
    <w:rsid w:val="007C2D3C"/>
    <w:rsid w:val="007C3CCA"/>
    <w:rsid w:val="007C461E"/>
    <w:rsid w:val="007C4EFB"/>
    <w:rsid w:val="007C4F86"/>
    <w:rsid w:val="007C7762"/>
    <w:rsid w:val="007D027F"/>
    <w:rsid w:val="007D06AE"/>
    <w:rsid w:val="007D070A"/>
    <w:rsid w:val="007D0D1E"/>
    <w:rsid w:val="007D0DFA"/>
    <w:rsid w:val="007D15DF"/>
    <w:rsid w:val="007D2F03"/>
    <w:rsid w:val="007D3D9B"/>
    <w:rsid w:val="007D5638"/>
    <w:rsid w:val="007D6432"/>
    <w:rsid w:val="007D6435"/>
    <w:rsid w:val="007D6C17"/>
    <w:rsid w:val="007D798C"/>
    <w:rsid w:val="007E0D77"/>
    <w:rsid w:val="007E1B76"/>
    <w:rsid w:val="007E32FB"/>
    <w:rsid w:val="007E3FDD"/>
    <w:rsid w:val="007E469F"/>
    <w:rsid w:val="007E4B2A"/>
    <w:rsid w:val="007E578F"/>
    <w:rsid w:val="007E69F5"/>
    <w:rsid w:val="007E77FC"/>
    <w:rsid w:val="007E7C56"/>
    <w:rsid w:val="007E7D69"/>
    <w:rsid w:val="007F0511"/>
    <w:rsid w:val="007F0A72"/>
    <w:rsid w:val="007F1799"/>
    <w:rsid w:val="007F19F7"/>
    <w:rsid w:val="007F1B80"/>
    <w:rsid w:val="007F2582"/>
    <w:rsid w:val="007F3238"/>
    <w:rsid w:val="007F36B2"/>
    <w:rsid w:val="007F36BD"/>
    <w:rsid w:val="007F397A"/>
    <w:rsid w:val="007F4056"/>
    <w:rsid w:val="007F4B76"/>
    <w:rsid w:val="007F55D9"/>
    <w:rsid w:val="007F5E77"/>
    <w:rsid w:val="007F6046"/>
    <w:rsid w:val="007F7BBD"/>
    <w:rsid w:val="008001C4"/>
    <w:rsid w:val="00802CC9"/>
    <w:rsid w:val="00803CAA"/>
    <w:rsid w:val="00803FEE"/>
    <w:rsid w:val="00806125"/>
    <w:rsid w:val="008062F4"/>
    <w:rsid w:val="00806433"/>
    <w:rsid w:val="008104C3"/>
    <w:rsid w:val="00811A5D"/>
    <w:rsid w:val="008142D0"/>
    <w:rsid w:val="0081487F"/>
    <w:rsid w:val="00814B77"/>
    <w:rsid w:val="0081505E"/>
    <w:rsid w:val="0081652C"/>
    <w:rsid w:val="008165FF"/>
    <w:rsid w:val="008169C8"/>
    <w:rsid w:val="00817C14"/>
    <w:rsid w:val="00817C6E"/>
    <w:rsid w:val="008205B6"/>
    <w:rsid w:val="0082100B"/>
    <w:rsid w:val="00821938"/>
    <w:rsid w:val="00821B96"/>
    <w:rsid w:val="00822597"/>
    <w:rsid w:val="008226FE"/>
    <w:rsid w:val="00823EDA"/>
    <w:rsid w:val="00824758"/>
    <w:rsid w:val="0082619D"/>
    <w:rsid w:val="00826E12"/>
    <w:rsid w:val="008275B7"/>
    <w:rsid w:val="00827875"/>
    <w:rsid w:val="00827925"/>
    <w:rsid w:val="00831F00"/>
    <w:rsid w:val="00832D6B"/>
    <w:rsid w:val="00833615"/>
    <w:rsid w:val="008341AF"/>
    <w:rsid w:val="0083531B"/>
    <w:rsid w:val="00836A94"/>
    <w:rsid w:val="00837104"/>
    <w:rsid w:val="00837F92"/>
    <w:rsid w:val="0084210A"/>
    <w:rsid w:val="00842F67"/>
    <w:rsid w:val="00843D05"/>
    <w:rsid w:val="0084618C"/>
    <w:rsid w:val="0084681F"/>
    <w:rsid w:val="008468FE"/>
    <w:rsid w:val="00846E72"/>
    <w:rsid w:val="00846EAE"/>
    <w:rsid w:val="0084712A"/>
    <w:rsid w:val="0085030D"/>
    <w:rsid w:val="00851908"/>
    <w:rsid w:val="00852D87"/>
    <w:rsid w:val="008531EA"/>
    <w:rsid w:val="008534DF"/>
    <w:rsid w:val="008548D5"/>
    <w:rsid w:val="00855628"/>
    <w:rsid w:val="00857594"/>
    <w:rsid w:val="008601DD"/>
    <w:rsid w:val="00860374"/>
    <w:rsid w:val="0086174E"/>
    <w:rsid w:val="00861911"/>
    <w:rsid w:val="00861CA3"/>
    <w:rsid w:val="00862391"/>
    <w:rsid w:val="00862585"/>
    <w:rsid w:val="00862B7A"/>
    <w:rsid w:val="00864882"/>
    <w:rsid w:val="00864B72"/>
    <w:rsid w:val="00864C35"/>
    <w:rsid w:val="00864CAD"/>
    <w:rsid w:val="008658A1"/>
    <w:rsid w:val="008658EE"/>
    <w:rsid w:val="00865A53"/>
    <w:rsid w:val="00866299"/>
    <w:rsid w:val="008676C8"/>
    <w:rsid w:val="00871777"/>
    <w:rsid w:val="00873E2A"/>
    <w:rsid w:val="0087476B"/>
    <w:rsid w:val="00874810"/>
    <w:rsid w:val="00875679"/>
    <w:rsid w:val="008766AE"/>
    <w:rsid w:val="00877BD9"/>
    <w:rsid w:val="0088003A"/>
    <w:rsid w:val="00881943"/>
    <w:rsid w:val="00881A47"/>
    <w:rsid w:val="00881A9F"/>
    <w:rsid w:val="00881EAB"/>
    <w:rsid w:val="008825E1"/>
    <w:rsid w:val="008831F1"/>
    <w:rsid w:val="00883696"/>
    <w:rsid w:val="00885313"/>
    <w:rsid w:val="00885928"/>
    <w:rsid w:val="00885D61"/>
    <w:rsid w:val="00886986"/>
    <w:rsid w:val="00886CF1"/>
    <w:rsid w:val="008871CB"/>
    <w:rsid w:val="00890A98"/>
    <w:rsid w:val="00891C31"/>
    <w:rsid w:val="0089317B"/>
    <w:rsid w:val="008931D0"/>
    <w:rsid w:val="00894F14"/>
    <w:rsid w:val="00895F2E"/>
    <w:rsid w:val="00895F62"/>
    <w:rsid w:val="008A28B0"/>
    <w:rsid w:val="008A29D0"/>
    <w:rsid w:val="008A323D"/>
    <w:rsid w:val="008A34B1"/>
    <w:rsid w:val="008A368E"/>
    <w:rsid w:val="008A5351"/>
    <w:rsid w:val="008A546C"/>
    <w:rsid w:val="008A5622"/>
    <w:rsid w:val="008A5EED"/>
    <w:rsid w:val="008A61A0"/>
    <w:rsid w:val="008A69C6"/>
    <w:rsid w:val="008A6B9C"/>
    <w:rsid w:val="008A6D2F"/>
    <w:rsid w:val="008A7BEC"/>
    <w:rsid w:val="008A7D0A"/>
    <w:rsid w:val="008B18CE"/>
    <w:rsid w:val="008B1920"/>
    <w:rsid w:val="008B3377"/>
    <w:rsid w:val="008B44E1"/>
    <w:rsid w:val="008B46F6"/>
    <w:rsid w:val="008B4B96"/>
    <w:rsid w:val="008B61DE"/>
    <w:rsid w:val="008B6EBB"/>
    <w:rsid w:val="008C1455"/>
    <w:rsid w:val="008C2DBA"/>
    <w:rsid w:val="008C37F9"/>
    <w:rsid w:val="008C415E"/>
    <w:rsid w:val="008C466A"/>
    <w:rsid w:val="008C4724"/>
    <w:rsid w:val="008C48D5"/>
    <w:rsid w:val="008C4A76"/>
    <w:rsid w:val="008C5D93"/>
    <w:rsid w:val="008C63DF"/>
    <w:rsid w:val="008C7E36"/>
    <w:rsid w:val="008D0F1D"/>
    <w:rsid w:val="008D2C76"/>
    <w:rsid w:val="008D3301"/>
    <w:rsid w:val="008D3AF2"/>
    <w:rsid w:val="008D69A6"/>
    <w:rsid w:val="008D6B4F"/>
    <w:rsid w:val="008E02FA"/>
    <w:rsid w:val="008E0513"/>
    <w:rsid w:val="008E0D6B"/>
    <w:rsid w:val="008E0F73"/>
    <w:rsid w:val="008E1D17"/>
    <w:rsid w:val="008E2419"/>
    <w:rsid w:val="008E33DD"/>
    <w:rsid w:val="008E37CB"/>
    <w:rsid w:val="008E3BF3"/>
    <w:rsid w:val="008E43F4"/>
    <w:rsid w:val="008E44E3"/>
    <w:rsid w:val="008E46D2"/>
    <w:rsid w:val="008E5A94"/>
    <w:rsid w:val="008E6BBE"/>
    <w:rsid w:val="008E7B05"/>
    <w:rsid w:val="008F047D"/>
    <w:rsid w:val="008F0EA9"/>
    <w:rsid w:val="008F1B54"/>
    <w:rsid w:val="008F1D74"/>
    <w:rsid w:val="008F1F14"/>
    <w:rsid w:val="008F2D7A"/>
    <w:rsid w:val="008F2EA9"/>
    <w:rsid w:val="008F2EDB"/>
    <w:rsid w:val="008F3A1A"/>
    <w:rsid w:val="008F4893"/>
    <w:rsid w:val="008F6B61"/>
    <w:rsid w:val="008F6DB6"/>
    <w:rsid w:val="008F78D8"/>
    <w:rsid w:val="009004DB"/>
    <w:rsid w:val="0090220D"/>
    <w:rsid w:val="00902612"/>
    <w:rsid w:val="00902AD8"/>
    <w:rsid w:val="00903702"/>
    <w:rsid w:val="00903993"/>
    <w:rsid w:val="00904151"/>
    <w:rsid w:val="00904620"/>
    <w:rsid w:val="00905304"/>
    <w:rsid w:val="00905A63"/>
    <w:rsid w:val="00905BBA"/>
    <w:rsid w:val="00905E3D"/>
    <w:rsid w:val="00905E5F"/>
    <w:rsid w:val="009065AA"/>
    <w:rsid w:val="009065DB"/>
    <w:rsid w:val="00907636"/>
    <w:rsid w:val="00907913"/>
    <w:rsid w:val="00907F36"/>
    <w:rsid w:val="00911038"/>
    <w:rsid w:val="0091118C"/>
    <w:rsid w:val="00911A93"/>
    <w:rsid w:val="00912047"/>
    <w:rsid w:val="00913C96"/>
    <w:rsid w:val="009140A5"/>
    <w:rsid w:val="009145A5"/>
    <w:rsid w:val="0091599E"/>
    <w:rsid w:val="00916DFC"/>
    <w:rsid w:val="0091726A"/>
    <w:rsid w:val="009176F0"/>
    <w:rsid w:val="00917974"/>
    <w:rsid w:val="00917E98"/>
    <w:rsid w:val="00920409"/>
    <w:rsid w:val="00921EFB"/>
    <w:rsid w:val="00922082"/>
    <w:rsid w:val="00923D1D"/>
    <w:rsid w:val="00923E19"/>
    <w:rsid w:val="0092449C"/>
    <w:rsid w:val="00924CF1"/>
    <w:rsid w:val="00924F91"/>
    <w:rsid w:val="00925ECF"/>
    <w:rsid w:val="00927616"/>
    <w:rsid w:val="00927BFA"/>
    <w:rsid w:val="00927F92"/>
    <w:rsid w:val="009311DE"/>
    <w:rsid w:val="009321AB"/>
    <w:rsid w:val="009322D9"/>
    <w:rsid w:val="00932512"/>
    <w:rsid w:val="00934DF8"/>
    <w:rsid w:val="0093553B"/>
    <w:rsid w:val="0093568D"/>
    <w:rsid w:val="00935AE2"/>
    <w:rsid w:val="00936286"/>
    <w:rsid w:val="00936984"/>
    <w:rsid w:val="00936E7A"/>
    <w:rsid w:val="00936F99"/>
    <w:rsid w:val="00937A2E"/>
    <w:rsid w:val="0094007A"/>
    <w:rsid w:val="00940764"/>
    <w:rsid w:val="00940D96"/>
    <w:rsid w:val="009420E0"/>
    <w:rsid w:val="00943F02"/>
    <w:rsid w:val="009441F7"/>
    <w:rsid w:val="009444EF"/>
    <w:rsid w:val="00944787"/>
    <w:rsid w:val="00944E74"/>
    <w:rsid w:val="00945133"/>
    <w:rsid w:val="00945195"/>
    <w:rsid w:val="00945E6E"/>
    <w:rsid w:val="00946D08"/>
    <w:rsid w:val="00947341"/>
    <w:rsid w:val="00947709"/>
    <w:rsid w:val="00947D2C"/>
    <w:rsid w:val="0095047C"/>
    <w:rsid w:val="009517FA"/>
    <w:rsid w:val="0095216B"/>
    <w:rsid w:val="00953ADA"/>
    <w:rsid w:val="00953CD5"/>
    <w:rsid w:val="00954B1B"/>
    <w:rsid w:val="009555D2"/>
    <w:rsid w:val="00955798"/>
    <w:rsid w:val="00955C7F"/>
    <w:rsid w:val="00955F1C"/>
    <w:rsid w:val="009566AD"/>
    <w:rsid w:val="0095687A"/>
    <w:rsid w:val="00956957"/>
    <w:rsid w:val="00956A85"/>
    <w:rsid w:val="00956C6E"/>
    <w:rsid w:val="009572F4"/>
    <w:rsid w:val="00960E1D"/>
    <w:rsid w:val="00961210"/>
    <w:rsid w:val="009614E5"/>
    <w:rsid w:val="00961BD3"/>
    <w:rsid w:val="00961EA3"/>
    <w:rsid w:val="00962CBB"/>
    <w:rsid w:val="00963E08"/>
    <w:rsid w:val="009643D4"/>
    <w:rsid w:val="0096580B"/>
    <w:rsid w:val="00966BAE"/>
    <w:rsid w:val="00967918"/>
    <w:rsid w:val="00967EE0"/>
    <w:rsid w:val="00971DC2"/>
    <w:rsid w:val="00971FBB"/>
    <w:rsid w:val="009721A4"/>
    <w:rsid w:val="009722E8"/>
    <w:rsid w:val="009740EE"/>
    <w:rsid w:val="009745BA"/>
    <w:rsid w:val="00974EC3"/>
    <w:rsid w:val="009758F1"/>
    <w:rsid w:val="009765C4"/>
    <w:rsid w:val="0097721A"/>
    <w:rsid w:val="0097745B"/>
    <w:rsid w:val="00980D0F"/>
    <w:rsid w:val="00980DB1"/>
    <w:rsid w:val="00980F3C"/>
    <w:rsid w:val="0098140C"/>
    <w:rsid w:val="00981EFB"/>
    <w:rsid w:val="00982101"/>
    <w:rsid w:val="00982BAA"/>
    <w:rsid w:val="0098368B"/>
    <w:rsid w:val="00983E27"/>
    <w:rsid w:val="00984297"/>
    <w:rsid w:val="0098503F"/>
    <w:rsid w:val="009869BF"/>
    <w:rsid w:val="00986D67"/>
    <w:rsid w:val="00987C2C"/>
    <w:rsid w:val="009903DE"/>
    <w:rsid w:val="009904D8"/>
    <w:rsid w:val="00990963"/>
    <w:rsid w:val="00990B75"/>
    <w:rsid w:val="009914EB"/>
    <w:rsid w:val="00992D59"/>
    <w:rsid w:val="009948DA"/>
    <w:rsid w:val="009952EC"/>
    <w:rsid w:val="00995315"/>
    <w:rsid w:val="009976CE"/>
    <w:rsid w:val="00997D48"/>
    <w:rsid w:val="00997F53"/>
    <w:rsid w:val="009A09FE"/>
    <w:rsid w:val="009A2E02"/>
    <w:rsid w:val="009A3B9C"/>
    <w:rsid w:val="009A4195"/>
    <w:rsid w:val="009A46F4"/>
    <w:rsid w:val="009A4838"/>
    <w:rsid w:val="009A6F12"/>
    <w:rsid w:val="009A79A6"/>
    <w:rsid w:val="009A7FFB"/>
    <w:rsid w:val="009B0802"/>
    <w:rsid w:val="009B16A3"/>
    <w:rsid w:val="009B2C15"/>
    <w:rsid w:val="009B5451"/>
    <w:rsid w:val="009B599E"/>
    <w:rsid w:val="009B6117"/>
    <w:rsid w:val="009B78B7"/>
    <w:rsid w:val="009B7A54"/>
    <w:rsid w:val="009C03E7"/>
    <w:rsid w:val="009C23B7"/>
    <w:rsid w:val="009C2F0F"/>
    <w:rsid w:val="009C308A"/>
    <w:rsid w:val="009C38FB"/>
    <w:rsid w:val="009C39B3"/>
    <w:rsid w:val="009C57D6"/>
    <w:rsid w:val="009C5B4F"/>
    <w:rsid w:val="009C647C"/>
    <w:rsid w:val="009C6623"/>
    <w:rsid w:val="009C672C"/>
    <w:rsid w:val="009C6864"/>
    <w:rsid w:val="009C74EA"/>
    <w:rsid w:val="009C7FE4"/>
    <w:rsid w:val="009D00AD"/>
    <w:rsid w:val="009D0413"/>
    <w:rsid w:val="009D34D0"/>
    <w:rsid w:val="009D3A1B"/>
    <w:rsid w:val="009D3DF5"/>
    <w:rsid w:val="009D567D"/>
    <w:rsid w:val="009D5FEE"/>
    <w:rsid w:val="009D6C46"/>
    <w:rsid w:val="009D7FF1"/>
    <w:rsid w:val="009E02A9"/>
    <w:rsid w:val="009E03B6"/>
    <w:rsid w:val="009E0C59"/>
    <w:rsid w:val="009E0D65"/>
    <w:rsid w:val="009E0D70"/>
    <w:rsid w:val="009E16B5"/>
    <w:rsid w:val="009E353E"/>
    <w:rsid w:val="009E3F03"/>
    <w:rsid w:val="009E3F1D"/>
    <w:rsid w:val="009E40C3"/>
    <w:rsid w:val="009E6A16"/>
    <w:rsid w:val="009F0B10"/>
    <w:rsid w:val="009F0E7D"/>
    <w:rsid w:val="009F1121"/>
    <w:rsid w:val="009F2039"/>
    <w:rsid w:val="009F3184"/>
    <w:rsid w:val="009F40AB"/>
    <w:rsid w:val="009F5893"/>
    <w:rsid w:val="009F779C"/>
    <w:rsid w:val="00A002B0"/>
    <w:rsid w:val="00A002CE"/>
    <w:rsid w:val="00A0058D"/>
    <w:rsid w:val="00A019A4"/>
    <w:rsid w:val="00A019E2"/>
    <w:rsid w:val="00A01B39"/>
    <w:rsid w:val="00A02466"/>
    <w:rsid w:val="00A026B9"/>
    <w:rsid w:val="00A0305B"/>
    <w:rsid w:val="00A0311A"/>
    <w:rsid w:val="00A03500"/>
    <w:rsid w:val="00A03D7A"/>
    <w:rsid w:val="00A04530"/>
    <w:rsid w:val="00A04B8C"/>
    <w:rsid w:val="00A04DCB"/>
    <w:rsid w:val="00A05EA4"/>
    <w:rsid w:val="00A06865"/>
    <w:rsid w:val="00A06E7F"/>
    <w:rsid w:val="00A078DA"/>
    <w:rsid w:val="00A07FFC"/>
    <w:rsid w:val="00A103D5"/>
    <w:rsid w:val="00A10D44"/>
    <w:rsid w:val="00A129E7"/>
    <w:rsid w:val="00A12B87"/>
    <w:rsid w:val="00A12DB2"/>
    <w:rsid w:val="00A12F16"/>
    <w:rsid w:val="00A13932"/>
    <w:rsid w:val="00A13A7D"/>
    <w:rsid w:val="00A143BE"/>
    <w:rsid w:val="00A14787"/>
    <w:rsid w:val="00A14796"/>
    <w:rsid w:val="00A14843"/>
    <w:rsid w:val="00A15082"/>
    <w:rsid w:val="00A155E7"/>
    <w:rsid w:val="00A15BAD"/>
    <w:rsid w:val="00A16367"/>
    <w:rsid w:val="00A17175"/>
    <w:rsid w:val="00A17724"/>
    <w:rsid w:val="00A17BBB"/>
    <w:rsid w:val="00A21F3A"/>
    <w:rsid w:val="00A22967"/>
    <w:rsid w:val="00A237C6"/>
    <w:rsid w:val="00A24E7C"/>
    <w:rsid w:val="00A25135"/>
    <w:rsid w:val="00A2573D"/>
    <w:rsid w:val="00A258BA"/>
    <w:rsid w:val="00A261CE"/>
    <w:rsid w:val="00A26871"/>
    <w:rsid w:val="00A26F7C"/>
    <w:rsid w:val="00A270C1"/>
    <w:rsid w:val="00A27A1A"/>
    <w:rsid w:val="00A27B6B"/>
    <w:rsid w:val="00A27FC5"/>
    <w:rsid w:val="00A301C4"/>
    <w:rsid w:val="00A30509"/>
    <w:rsid w:val="00A30701"/>
    <w:rsid w:val="00A30A11"/>
    <w:rsid w:val="00A31FFE"/>
    <w:rsid w:val="00A323D2"/>
    <w:rsid w:val="00A32674"/>
    <w:rsid w:val="00A33697"/>
    <w:rsid w:val="00A33F05"/>
    <w:rsid w:val="00A34065"/>
    <w:rsid w:val="00A34136"/>
    <w:rsid w:val="00A35F1F"/>
    <w:rsid w:val="00A360E4"/>
    <w:rsid w:val="00A36C69"/>
    <w:rsid w:val="00A36E59"/>
    <w:rsid w:val="00A373E5"/>
    <w:rsid w:val="00A379EF"/>
    <w:rsid w:val="00A4066F"/>
    <w:rsid w:val="00A40EE0"/>
    <w:rsid w:val="00A41448"/>
    <w:rsid w:val="00A41924"/>
    <w:rsid w:val="00A41BBB"/>
    <w:rsid w:val="00A41CFA"/>
    <w:rsid w:val="00A42068"/>
    <w:rsid w:val="00A42972"/>
    <w:rsid w:val="00A42CCE"/>
    <w:rsid w:val="00A42D5D"/>
    <w:rsid w:val="00A42FF8"/>
    <w:rsid w:val="00A43933"/>
    <w:rsid w:val="00A449A6"/>
    <w:rsid w:val="00A44B6C"/>
    <w:rsid w:val="00A451A3"/>
    <w:rsid w:val="00A46653"/>
    <w:rsid w:val="00A46E6B"/>
    <w:rsid w:val="00A47062"/>
    <w:rsid w:val="00A47066"/>
    <w:rsid w:val="00A47BFE"/>
    <w:rsid w:val="00A50933"/>
    <w:rsid w:val="00A5191D"/>
    <w:rsid w:val="00A51ACC"/>
    <w:rsid w:val="00A51ED9"/>
    <w:rsid w:val="00A5274F"/>
    <w:rsid w:val="00A52AD4"/>
    <w:rsid w:val="00A53AE3"/>
    <w:rsid w:val="00A55259"/>
    <w:rsid w:val="00A554D3"/>
    <w:rsid w:val="00A55AA2"/>
    <w:rsid w:val="00A567A2"/>
    <w:rsid w:val="00A567CF"/>
    <w:rsid w:val="00A573D1"/>
    <w:rsid w:val="00A57497"/>
    <w:rsid w:val="00A57774"/>
    <w:rsid w:val="00A607CF"/>
    <w:rsid w:val="00A61CFB"/>
    <w:rsid w:val="00A61FBD"/>
    <w:rsid w:val="00A625A9"/>
    <w:rsid w:val="00A62974"/>
    <w:rsid w:val="00A62B66"/>
    <w:rsid w:val="00A633DE"/>
    <w:rsid w:val="00A63674"/>
    <w:rsid w:val="00A63D79"/>
    <w:rsid w:val="00A641ED"/>
    <w:rsid w:val="00A645BA"/>
    <w:rsid w:val="00A649DF"/>
    <w:rsid w:val="00A650AF"/>
    <w:rsid w:val="00A6519C"/>
    <w:rsid w:val="00A6636F"/>
    <w:rsid w:val="00A70B58"/>
    <w:rsid w:val="00A712BB"/>
    <w:rsid w:val="00A7186D"/>
    <w:rsid w:val="00A72140"/>
    <w:rsid w:val="00A726AD"/>
    <w:rsid w:val="00A7278F"/>
    <w:rsid w:val="00A7368D"/>
    <w:rsid w:val="00A737F4"/>
    <w:rsid w:val="00A74233"/>
    <w:rsid w:val="00A742DB"/>
    <w:rsid w:val="00A750D3"/>
    <w:rsid w:val="00A76E53"/>
    <w:rsid w:val="00A7715F"/>
    <w:rsid w:val="00A8012C"/>
    <w:rsid w:val="00A8048C"/>
    <w:rsid w:val="00A804A1"/>
    <w:rsid w:val="00A80BB6"/>
    <w:rsid w:val="00A81027"/>
    <w:rsid w:val="00A818BA"/>
    <w:rsid w:val="00A81B76"/>
    <w:rsid w:val="00A81BA6"/>
    <w:rsid w:val="00A827E7"/>
    <w:rsid w:val="00A82A83"/>
    <w:rsid w:val="00A8315D"/>
    <w:rsid w:val="00A84823"/>
    <w:rsid w:val="00A853F0"/>
    <w:rsid w:val="00A8605D"/>
    <w:rsid w:val="00A86C71"/>
    <w:rsid w:val="00A87061"/>
    <w:rsid w:val="00A87B1F"/>
    <w:rsid w:val="00A90051"/>
    <w:rsid w:val="00A90D3C"/>
    <w:rsid w:val="00A9126C"/>
    <w:rsid w:val="00A91C51"/>
    <w:rsid w:val="00A91D0D"/>
    <w:rsid w:val="00A91DC4"/>
    <w:rsid w:val="00A93E62"/>
    <w:rsid w:val="00A948E8"/>
    <w:rsid w:val="00A950CB"/>
    <w:rsid w:val="00A959FC"/>
    <w:rsid w:val="00A95AA2"/>
    <w:rsid w:val="00A96592"/>
    <w:rsid w:val="00A96CB1"/>
    <w:rsid w:val="00A9778C"/>
    <w:rsid w:val="00AA04D2"/>
    <w:rsid w:val="00AA09A6"/>
    <w:rsid w:val="00AA0EFC"/>
    <w:rsid w:val="00AA1BB6"/>
    <w:rsid w:val="00AA23C2"/>
    <w:rsid w:val="00AA2BAD"/>
    <w:rsid w:val="00AA4A40"/>
    <w:rsid w:val="00AA4AAA"/>
    <w:rsid w:val="00AA4AB4"/>
    <w:rsid w:val="00AB015F"/>
    <w:rsid w:val="00AB310E"/>
    <w:rsid w:val="00AB48F8"/>
    <w:rsid w:val="00AB779D"/>
    <w:rsid w:val="00AC14CD"/>
    <w:rsid w:val="00AC1F2B"/>
    <w:rsid w:val="00AC2980"/>
    <w:rsid w:val="00AC2FF5"/>
    <w:rsid w:val="00AC3734"/>
    <w:rsid w:val="00AC3A6B"/>
    <w:rsid w:val="00AC3F37"/>
    <w:rsid w:val="00AC410D"/>
    <w:rsid w:val="00AC4D07"/>
    <w:rsid w:val="00AC62C1"/>
    <w:rsid w:val="00AC6973"/>
    <w:rsid w:val="00AC6B5D"/>
    <w:rsid w:val="00AC6C0E"/>
    <w:rsid w:val="00AC6CEE"/>
    <w:rsid w:val="00AD03A6"/>
    <w:rsid w:val="00AD0C9B"/>
    <w:rsid w:val="00AD23C9"/>
    <w:rsid w:val="00AD29A7"/>
    <w:rsid w:val="00AD3C49"/>
    <w:rsid w:val="00AD4205"/>
    <w:rsid w:val="00AD4E02"/>
    <w:rsid w:val="00AD64F3"/>
    <w:rsid w:val="00AD6800"/>
    <w:rsid w:val="00AD6C2A"/>
    <w:rsid w:val="00AD70F6"/>
    <w:rsid w:val="00AD76A2"/>
    <w:rsid w:val="00AE176E"/>
    <w:rsid w:val="00AE1E5F"/>
    <w:rsid w:val="00AE3BDE"/>
    <w:rsid w:val="00AE3EC3"/>
    <w:rsid w:val="00AE4B99"/>
    <w:rsid w:val="00AE79D4"/>
    <w:rsid w:val="00AF0D0A"/>
    <w:rsid w:val="00AF0DFB"/>
    <w:rsid w:val="00AF14D2"/>
    <w:rsid w:val="00AF18B8"/>
    <w:rsid w:val="00AF1A0D"/>
    <w:rsid w:val="00AF2173"/>
    <w:rsid w:val="00AF237A"/>
    <w:rsid w:val="00AF39B1"/>
    <w:rsid w:val="00AF4252"/>
    <w:rsid w:val="00AF4909"/>
    <w:rsid w:val="00AF4D3D"/>
    <w:rsid w:val="00AF5401"/>
    <w:rsid w:val="00AF5A32"/>
    <w:rsid w:val="00AF5E36"/>
    <w:rsid w:val="00AF68E9"/>
    <w:rsid w:val="00AF6A38"/>
    <w:rsid w:val="00AF6FCE"/>
    <w:rsid w:val="00AF7E7E"/>
    <w:rsid w:val="00AF7E8F"/>
    <w:rsid w:val="00B002D0"/>
    <w:rsid w:val="00B00BE1"/>
    <w:rsid w:val="00B00EA3"/>
    <w:rsid w:val="00B02284"/>
    <w:rsid w:val="00B028D2"/>
    <w:rsid w:val="00B03728"/>
    <w:rsid w:val="00B03FBE"/>
    <w:rsid w:val="00B05255"/>
    <w:rsid w:val="00B0750D"/>
    <w:rsid w:val="00B07740"/>
    <w:rsid w:val="00B07F75"/>
    <w:rsid w:val="00B116B7"/>
    <w:rsid w:val="00B11E17"/>
    <w:rsid w:val="00B12340"/>
    <w:rsid w:val="00B12706"/>
    <w:rsid w:val="00B128BF"/>
    <w:rsid w:val="00B1306B"/>
    <w:rsid w:val="00B13D9B"/>
    <w:rsid w:val="00B14C95"/>
    <w:rsid w:val="00B16514"/>
    <w:rsid w:val="00B16BE5"/>
    <w:rsid w:val="00B171B2"/>
    <w:rsid w:val="00B178DC"/>
    <w:rsid w:val="00B17BAA"/>
    <w:rsid w:val="00B21AB7"/>
    <w:rsid w:val="00B21FA7"/>
    <w:rsid w:val="00B23134"/>
    <w:rsid w:val="00B23785"/>
    <w:rsid w:val="00B239B0"/>
    <w:rsid w:val="00B23A40"/>
    <w:rsid w:val="00B23B43"/>
    <w:rsid w:val="00B23F06"/>
    <w:rsid w:val="00B2408D"/>
    <w:rsid w:val="00B247F4"/>
    <w:rsid w:val="00B24995"/>
    <w:rsid w:val="00B2517D"/>
    <w:rsid w:val="00B25EB6"/>
    <w:rsid w:val="00B26022"/>
    <w:rsid w:val="00B26DE1"/>
    <w:rsid w:val="00B273C7"/>
    <w:rsid w:val="00B27B7A"/>
    <w:rsid w:val="00B30110"/>
    <w:rsid w:val="00B30ED9"/>
    <w:rsid w:val="00B31FF3"/>
    <w:rsid w:val="00B31FF6"/>
    <w:rsid w:val="00B32361"/>
    <w:rsid w:val="00B3270F"/>
    <w:rsid w:val="00B34637"/>
    <w:rsid w:val="00B35CE3"/>
    <w:rsid w:val="00B35EE9"/>
    <w:rsid w:val="00B3653E"/>
    <w:rsid w:val="00B372DD"/>
    <w:rsid w:val="00B376F4"/>
    <w:rsid w:val="00B40057"/>
    <w:rsid w:val="00B42A0B"/>
    <w:rsid w:val="00B42C74"/>
    <w:rsid w:val="00B4373B"/>
    <w:rsid w:val="00B44A46"/>
    <w:rsid w:val="00B44D79"/>
    <w:rsid w:val="00B44FD2"/>
    <w:rsid w:val="00B45971"/>
    <w:rsid w:val="00B45F01"/>
    <w:rsid w:val="00B46509"/>
    <w:rsid w:val="00B46C38"/>
    <w:rsid w:val="00B475EE"/>
    <w:rsid w:val="00B5208D"/>
    <w:rsid w:val="00B5209E"/>
    <w:rsid w:val="00B535CA"/>
    <w:rsid w:val="00B5373F"/>
    <w:rsid w:val="00B54294"/>
    <w:rsid w:val="00B54A07"/>
    <w:rsid w:val="00B54C40"/>
    <w:rsid w:val="00B54F50"/>
    <w:rsid w:val="00B5507F"/>
    <w:rsid w:val="00B552FC"/>
    <w:rsid w:val="00B554D6"/>
    <w:rsid w:val="00B5592C"/>
    <w:rsid w:val="00B61343"/>
    <w:rsid w:val="00B61ACB"/>
    <w:rsid w:val="00B61E1C"/>
    <w:rsid w:val="00B61ED9"/>
    <w:rsid w:val="00B62208"/>
    <w:rsid w:val="00B62ACD"/>
    <w:rsid w:val="00B6388C"/>
    <w:rsid w:val="00B64299"/>
    <w:rsid w:val="00B654AC"/>
    <w:rsid w:val="00B65A0D"/>
    <w:rsid w:val="00B668AF"/>
    <w:rsid w:val="00B66C95"/>
    <w:rsid w:val="00B6784B"/>
    <w:rsid w:val="00B70E66"/>
    <w:rsid w:val="00B72848"/>
    <w:rsid w:val="00B72D9A"/>
    <w:rsid w:val="00B731B6"/>
    <w:rsid w:val="00B7352B"/>
    <w:rsid w:val="00B76175"/>
    <w:rsid w:val="00B77A78"/>
    <w:rsid w:val="00B80D55"/>
    <w:rsid w:val="00B820D3"/>
    <w:rsid w:val="00B829BD"/>
    <w:rsid w:val="00B829E1"/>
    <w:rsid w:val="00B82E86"/>
    <w:rsid w:val="00B835D0"/>
    <w:rsid w:val="00B83E72"/>
    <w:rsid w:val="00B840E2"/>
    <w:rsid w:val="00B85608"/>
    <w:rsid w:val="00B86098"/>
    <w:rsid w:val="00B91529"/>
    <w:rsid w:val="00B91DAE"/>
    <w:rsid w:val="00B92212"/>
    <w:rsid w:val="00B94861"/>
    <w:rsid w:val="00B94985"/>
    <w:rsid w:val="00B94ADC"/>
    <w:rsid w:val="00B95E32"/>
    <w:rsid w:val="00B95FAF"/>
    <w:rsid w:val="00B967A9"/>
    <w:rsid w:val="00B972A4"/>
    <w:rsid w:val="00B9762C"/>
    <w:rsid w:val="00B979FB"/>
    <w:rsid w:val="00BA027A"/>
    <w:rsid w:val="00BA0833"/>
    <w:rsid w:val="00BA1D9A"/>
    <w:rsid w:val="00BA326E"/>
    <w:rsid w:val="00BA32DB"/>
    <w:rsid w:val="00BA3775"/>
    <w:rsid w:val="00BA3CC7"/>
    <w:rsid w:val="00BA5A27"/>
    <w:rsid w:val="00BA6F09"/>
    <w:rsid w:val="00BA7B2C"/>
    <w:rsid w:val="00BB03E8"/>
    <w:rsid w:val="00BB0F9A"/>
    <w:rsid w:val="00BB1561"/>
    <w:rsid w:val="00BB164C"/>
    <w:rsid w:val="00BB1CB1"/>
    <w:rsid w:val="00BB242D"/>
    <w:rsid w:val="00BB2F98"/>
    <w:rsid w:val="00BB328C"/>
    <w:rsid w:val="00BB5149"/>
    <w:rsid w:val="00BB541B"/>
    <w:rsid w:val="00BB54F7"/>
    <w:rsid w:val="00BB7307"/>
    <w:rsid w:val="00BB7755"/>
    <w:rsid w:val="00BC09FA"/>
    <w:rsid w:val="00BC0F1A"/>
    <w:rsid w:val="00BC1B9C"/>
    <w:rsid w:val="00BC1C6A"/>
    <w:rsid w:val="00BC2113"/>
    <w:rsid w:val="00BC2227"/>
    <w:rsid w:val="00BC3F5C"/>
    <w:rsid w:val="00BC63E8"/>
    <w:rsid w:val="00BC63F6"/>
    <w:rsid w:val="00BC6512"/>
    <w:rsid w:val="00BC7EDD"/>
    <w:rsid w:val="00BD010A"/>
    <w:rsid w:val="00BD01C7"/>
    <w:rsid w:val="00BD0581"/>
    <w:rsid w:val="00BD07AB"/>
    <w:rsid w:val="00BD1760"/>
    <w:rsid w:val="00BD36D6"/>
    <w:rsid w:val="00BD3FB4"/>
    <w:rsid w:val="00BD4E85"/>
    <w:rsid w:val="00BD5375"/>
    <w:rsid w:val="00BD5C9D"/>
    <w:rsid w:val="00BD677A"/>
    <w:rsid w:val="00BD6BC8"/>
    <w:rsid w:val="00BD76DE"/>
    <w:rsid w:val="00BD7A2E"/>
    <w:rsid w:val="00BE0035"/>
    <w:rsid w:val="00BE0357"/>
    <w:rsid w:val="00BE061A"/>
    <w:rsid w:val="00BE0DD1"/>
    <w:rsid w:val="00BE0E06"/>
    <w:rsid w:val="00BE1187"/>
    <w:rsid w:val="00BE14E3"/>
    <w:rsid w:val="00BE16A7"/>
    <w:rsid w:val="00BE2586"/>
    <w:rsid w:val="00BE3031"/>
    <w:rsid w:val="00BE5677"/>
    <w:rsid w:val="00BE61CC"/>
    <w:rsid w:val="00BE75BB"/>
    <w:rsid w:val="00BE78A1"/>
    <w:rsid w:val="00BE7A85"/>
    <w:rsid w:val="00BF0B39"/>
    <w:rsid w:val="00BF138F"/>
    <w:rsid w:val="00BF19F9"/>
    <w:rsid w:val="00BF2A02"/>
    <w:rsid w:val="00BF2C1C"/>
    <w:rsid w:val="00BF3CB1"/>
    <w:rsid w:val="00BF3CCA"/>
    <w:rsid w:val="00BF41C3"/>
    <w:rsid w:val="00BF5256"/>
    <w:rsid w:val="00BF53D6"/>
    <w:rsid w:val="00BF665E"/>
    <w:rsid w:val="00C003D0"/>
    <w:rsid w:val="00C004D4"/>
    <w:rsid w:val="00C00586"/>
    <w:rsid w:val="00C0071D"/>
    <w:rsid w:val="00C013AE"/>
    <w:rsid w:val="00C03060"/>
    <w:rsid w:val="00C038DE"/>
    <w:rsid w:val="00C03DF7"/>
    <w:rsid w:val="00C0406E"/>
    <w:rsid w:val="00C0518D"/>
    <w:rsid w:val="00C05968"/>
    <w:rsid w:val="00C061F9"/>
    <w:rsid w:val="00C063BF"/>
    <w:rsid w:val="00C06BF3"/>
    <w:rsid w:val="00C06EAF"/>
    <w:rsid w:val="00C101B7"/>
    <w:rsid w:val="00C11BBE"/>
    <w:rsid w:val="00C122D1"/>
    <w:rsid w:val="00C13D38"/>
    <w:rsid w:val="00C147FF"/>
    <w:rsid w:val="00C14E12"/>
    <w:rsid w:val="00C1538B"/>
    <w:rsid w:val="00C1595E"/>
    <w:rsid w:val="00C15ADB"/>
    <w:rsid w:val="00C17394"/>
    <w:rsid w:val="00C175CC"/>
    <w:rsid w:val="00C17AE2"/>
    <w:rsid w:val="00C22E8E"/>
    <w:rsid w:val="00C24B09"/>
    <w:rsid w:val="00C25180"/>
    <w:rsid w:val="00C254AD"/>
    <w:rsid w:val="00C26111"/>
    <w:rsid w:val="00C277A2"/>
    <w:rsid w:val="00C2787E"/>
    <w:rsid w:val="00C3016D"/>
    <w:rsid w:val="00C303C7"/>
    <w:rsid w:val="00C30C8C"/>
    <w:rsid w:val="00C31458"/>
    <w:rsid w:val="00C3262A"/>
    <w:rsid w:val="00C34092"/>
    <w:rsid w:val="00C34339"/>
    <w:rsid w:val="00C34BB7"/>
    <w:rsid w:val="00C34BC8"/>
    <w:rsid w:val="00C3563B"/>
    <w:rsid w:val="00C35740"/>
    <w:rsid w:val="00C403FC"/>
    <w:rsid w:val="00C407CA"/>
    <w:rsid w:val="00C40BA5"/>
    <w:rsid w:val="00C40F92"/>
    <w:rsid w:val="00C41054"/>
    <w:rsid w:val="00C41707"/>
    <w:rsid w:val="00C4303B"/>
    <w:rsid w:val="00C44048"/>
    <w:rsid w:val="00C44BC4"/>
    <w:rsid w:val="00C44C8D"/>
    <w:rsid w:val="00C44EE5"/>
    <w:rsid w:val="00C45334"/>
    <w:rsid w:val="00C4533A"/>
    <w:rsid w:val="00C4590B"/>
    <w:rsid w:val="00C45B97"/>
    <w:rsid w:val="00C46FD1"/>
    <w:rsid w:val="00C47E11"/>
    <w:rsid w:val="00C5312F"/>
    <w:rsid w:val="00C54096"/>
    <w:rsid w:val="00C540C6"/>
    <w:rsid w:val="00C540FB"/>
    <w:rsid w:val="00C54EC7"/>
    <w:rsid w:val="00C55396"/>
    <w:rsid w:val="00C55771"/>
    <w:rsid w:val="00C55A2B"/>
    <w:rsid w:val="00C55C16"/>
    <w:rsid w:val="00C600FE"/>
    <w:rsid w:val="00C6013F"/>
    <w:rsid w:val="00C62014"/>
    <w:rsid w:val="00C62032"/>
    <w:rsid w:val="00C6341D"/>
    <w:rsid w:val="00C6365B"/>
    <w:rsid w:val="00C63CCE"/>
    <w:rsid w:val="00C64A26"/>
    <w:rsid w:val="00C64A44"/>
    <w:rsid w:val="00C64C6A"/>
    <w:rsid w:val="00C660D9"/>
    <w:rsid w:val="00C668A0"/>
    <w:rsid w:val="00C679DE"/>
    <w:rsid w:val="00C70580"/>
    <w:rsid w:val="00C71118"/>
    <w:rsid w:val="00C72A0D"/>
    <w:rsid w:val="00C7319F"/>
    <w:rsid w:val="00C73206"/>
    <w:rsid w:val="00C73370"/>
    <w:rsid w:val="00C76E6F"/>
    <w:rsid w:val="00C76F07"/>
    <w:rsid w:val="00C773B1"/>
    <w:rsid w:val="00C77CFE"/>
    <w:rsid w:val="00C816BB"/>
    <w:rsid w:val="00C816F8"/>
    <w:rsid w:val="00C82385"/>
    <w:rsid w:val="00C83450"/>
    <w:rsid w:val="00C83863"/>
    <w:rsid w:val="00C839E1"/>
    <w:rsid w:val="00C83DCF"/>
    <w:rsid w:val="00C850F3"/>
    <w:rsid w:val="00C85438"/>
    <w:rsid w:val="00C86742"/>
    <w:rsid w:val="00C875FB"/>
    <w:rsid w:val="00C8782C"/>
    <w:rsid w:val="00C87ED5"/>
    <w:rsid w:val="00C91432"/>
    <w:rsid w:val="00C9147E"/>
    <w:rsid w:val="00C91590"/>
    <w:rsid w:val="00C915F2"/>
    <w:rsid w:val="00C930A9"/>
    <w:rsid w:val="00C93101"/>
    <w:rsid w:val="00C931AF"/>
    <w:rsid w:val="00C9354F"/>
    <w:rsid w:val="00C93CDB"/>
    <w:rsid w:val="00C94240"/>
    <w:rsid w:val="00C9447B"/>
    <w:rsid w:val="00C94F60"/>
    <w:rsid w:val="00C957D5"/>
    <w:rsid w:val="00C959BD"/>
    <w:rsid w:val="00C95C3C"/>
    <w:rsid w:val="00C96277"/>
    <w:rsid w:val="00C9671B"/>
    <w:rsid w:val="00C968F0"/>
    <w:rsid w:val="00C96AC4"/>
    <w:rsid w:val="00C96DBD"/>
    <w:rsid w:val="00C96DE9"/>
    <w:rsid w:val="00C97B90"/>
    <w:rsid w:val="00CA0E82"/>
    <w:rsid w:val="00CA2421"/>
    <w:rsid w:val="00CA2928"/>
    <w:rsid w:val="00CA2D72"/>
    <w:rsid w:val="00CA2D7E"/>
    <w:rsid w:val="00CA57D8"/>
    <w:rsid w:val="00CA62B5"/>
    <w:rsid w:val="00CA6E4F"/>
    <w:rsid w:val="00CA6E5F"/>
    <w:rsid w:val="00CA74F5"/>
    <w:rsid w:val="00CB0484"/>
    <w:rsid w:val="00CB1226"/>
    <w:rsid w:val="00CB1492"/>
    <w:rsid w:val="00CB18DF"/>
    <w:rsid w:val="00CB1B4C"/>
    <w:rsid w:val="00CB1E88"/>
    <w:rsid w:val="00CB33D3"/>
    <w:rsid w:val="00CB54DE"/>
    <w:rsid w:val="00CB551B"/>
    <w:rsid w:val="00CB565A"/>
    <w:rsid w:val="00CB7960"/>
    <w:rsid w:val="00CC1239"/>
    <w:rsid w:val="00CC1AD6"/>
    <w:rsid w:val="00CC2308"/>
    <w:rsid w:val="00CC2EBE"/>
    <w:rsid w:val="00CC3436"/>
    <w:rsid w:val="00CC4457"/>
    <w:rsid w:val="00CC61FF"/>
    <w:rsid w:val="00CC72B9"/>
    <w:rsid w:val="00CD0175"/>
    <w:rsid w:val="00CD0798"/>
    <w:rsid w:val="00CD0896"/>
    <w:rsid w:val="00CD1283"/>
    <w:rsid w:val="00CD245B"/>
    <w:rsid w:val="00CD3387"/>
    <w:rsid w:val="00CD344B"/>
    <w:rsid w:val="00CD3CF3"/>
    <w:rsid w:val="00CD5B74"/>
    <w:rsid w:val="00CD5CD6"/>
    <w:rsid w:val="00CD68A3"/>
    <w:rsid w:val="00CD690F"/>
    <w:rsid w:val="00CD7275"/>
    <w:rsid w:val="00CE0162"/>
    <w:rsid w:val="00CE0FC8"/>
    <w:rsid w:val="00CE1C2C"/>
    <w:rsid w:val="00CE2126"/>
    <w:rsid w:val="00CE2239"/>
    <w:rsid w:val="00CE362D"/>
    <w:rsid w:val="00CE48C8"/>
    <w:rsid w:val="00CE5B7B"/>
    <w:rsid w:val="00CE5C0A"/>
    <w:rsid w:val="00CE6328"/>
    <w:rsid w:val="00CE74F5"/>
    <w:rsid w:val="00CF0255"/>
    <w:rsid w:val="00CF0533"/>
    <w:rsid w:val="00CF0EE5"/>
    <w:rsid w:val="00CF21B1"/>
    <w:rsid w:val="00CF23B6"/>
    <w:rsid w:val="00CF2B8E"/>
    <w:rsid w:val="00CF2CBB"/>
    <w:rsid w:val="00CF3A81"/>
    <w:rsid w:val="00CF3AFF"/>
    <w:rsid w:val="00CF3C2B"/>
    <w:rsid w:val="00CF49B3"/>
    <w:rsid w:val="00CF56D4"/>
    <w:rsid w:val="00CF5860"/>
    <w:rsid w:val="00D00E0E"/>
    <w:rsid w:val="00D02346"/>
    <w:rsid w:val="00D0257C"/>
    <w:rsid w:val="00D02841"/>
    <w:rsid w:val="00D037D7"/>
    <w:rsid w:val="00D04053"/>
    <w:rsid w:val="00D040FD"/>
    <w:rsid w:val="00D055FC"/>
    <w:rsid w:val="00D05E58"/>
    <w:rsid w:val="00D063AB"/>
    <w:rsid w:val="00D06F15"/>
    <w:rsid w:val="00D076D0"/>
    <w:rsid w:val="00D10028"/>
    <w:rsid w:val="00D119DE"/>
    <w:rsid w:val="00D119EF"/>
    <w:rsid w:val="00D1287E"/>
    <w:rsid w:val="00D128CF"/>
    <w:rsid w:val="00D13534"/>
    <w:rsid w:val="00D137E8"/>
    <w:rsid w:val="00D13B70"/>
    <w:rsid w:val="00D14AF7"/>
    <w:rsid w:val="00D14EC3"/>
    <w:rsid w:val="00D15B47"/>
    <w:rsid w:val="00D15CD1"/>
    <w:rsid w:val="00D1655B"/>
    <w:rsid w:val="00D20B4A"/>
    <w:rsid w:val="00D213B3"/>
    <w:rsid w:val="00D2170E"/>
    <w:rsid w:val="00D2180B"/>
    <w:rsid w:val="00D22AFA"/>
    <w:rsid w:val="00D22E87"/>
    <w:rsid w:val="00D235AF"/>
    <w:rsid w:val="00D23D95"/>
    <w:rsid w:val="00D24876"/>
    <w:rsid w:val="00D24B41"/>
    <w:rsid w:val="00D25134"/>
    <w:rsid w:val="00D25318"/>
    <w:rsid w:val="00D25738"/>
    <w:rsid w:val="00D25F7A"/>
    <w:rsid w:val="00D26FE3"/>
    <w:rsid w:val="00D30061"/>
    <w:rsid w:val="00D34561"/>
    <w:rsid w:val="00D35563"/>
    <w:rsid w:val="00D37586"/>
    <w:rsid w:val="00D37A13"/>
    <w:rsid w:val="00D409CD"/>
    <w:rsid w:val="00D426D9"/>
    <w:rsid w:val="00D42B63"/>
    <w:rsid w:val="00D42F63"/>
    <w:rsid w:val="00D443A0"/>
    <w:rsid w:val="00D44539"/>
    <w:rsid w:val="00D44850"/>
    <w:rsid w:val="00D45A99"/>
    <w:rsid w:val="00D461D0"/>
    <w:rsid w:val="00D47283"/>
    <w:rsid w:val="00D47462"/>
    <w:rsid w:val="00D53927"/>
    <w:rsid w:val="00D54BF3"/>
    <w:rsid w:val="00D55A02"/>
    <w:rsid w:val="00D5615C"/>
    <w:rsid w:val="00D612AF"/>
    <w:rsid w:val="00D6366A"/>
    <w:rsid w:val="00D63D71"/>
    <w:rsid w:val="00D649A7"/>
    <w:rsid w:val="00D67129"/>
    <w:rsid w:val="00D6718A"/>
    <w:rsid w:val="00D73EA2"/>
    <w:rsid w:val="00D7514B"/>
    <w:rsid w:val="00D75DC4"/>
    <w:rsid w:val="00D76099"/>
    <w:rsid w:val="00D76833"/>
    <w:rsid w:val="00D772A4"/>
    <w:rsid w:val="00D77EB1"/>
    <w:rsid w:val="00D77EEE"/>
    <w:rsid w:val="00D80541"/>
    <w:rsid w:val="00D807D7"/>
    <w:rsid w:val="00D80E9F"/>
    <w:rsid w:val="00D83C96"/>
    <w:rsid w:val="00D855BC"/>
    <w:rsid w:val="00D86FCD"/>
    <w:rsid w:val="00D9091A"/>
    <w:rsid w:val="00D90A95"/>
    <w:rsid w:val="00D90F56"/>
    <w:rsid w:val="00D910E5"/>
    <w:rsid w:val="00D91495"/>
    <w:rsid w:val="00D91732"/>
    <w:rsid w:val="00D91AB0"/>
    <w:rsid w:val="00D91B48"/>
    <w:rsid w:val="00D92E3B"/>
    <w:rsid w:val="00D93AEF"/>
    <w:rsid w:val="00D94766"/>
    <w:rsid w:val="00D96C30"/>
    <w:rsid w:val="00D97025"/>
    <w:rsid w:val="00D97191"/>
    <w:rsid w:val="00D97635"/>
    <w:rsid w:val="00DA068D"/>
    <w:rsid w:val="00DA08D3"/>
    <w:rsid w:val="00DA0A3A"/>
    <w:rsid w:val="00DA1343"/>
    <w:rsid w:val="00DA135B"/>
    <w:rsid w:val="00DA1544"/>
    <w:rsid w:val="00DA246E"/>
    <w:rsid w:val="00DA2662"/>
    <w:rsid w:val="00DA2C20"/>
    <w:rsid w:val="00DA2FFE"/>
    <w:rsid w:val="00DA407C"/>
    <w:rsid w:val="00DA4CF8"/>
    <w:rsid w:val="00DA5918"/>
    <w:rsid w:val="00DA5B3B"/>
    <w:rsid w:val="00DA5C7B"/>
    <w:rsid w:val="00DA7E91"/>
    <w:rsid w:val="00DB00AD"/>
    <w:rsid w:val="00DB01DD"/>
    <w:rsid w:val="00DB0990"/>
    <w:rsid w:val="00DB118D"/>
    <w:rsid w:val="00DB1584"/>
    <w:rsid w:val="00DB1AB5"/>
    <w:rsid w:val="00DB26FC"/>
    <w:rsid w:val="00DB3F73"/>
    <w:rsid w:val="00DB41BC"/>
    <w:rsid w:val="00DB553C"/>
    <w:rsid w:val="00DB56B6"/>
    <w:rsid w:val="00DB60C4"/>
    <w:rsid w:val="00DB7EFA"/>
    <w:rsid w:val="00DC04CB"/>
    <w:rsid w:val="00DC0970"/>
    <w:rsid w:val="00DC2122"/>
    <w:rsid w:val="00DC2C32"/>
    <w:rsid w:val="00DC3516"/>
    <w:rsid w:val="00DC3562"/>
    <w:rsid w:val="00DC4C93"/>
    <w:rsid w:val="00DC5750"/>
    <w:rsid w:val="00DC75A8"/>
    <w:rsid w:val="00DD03FB"/>
    <w:rsid w:val="00DD1CC4"/>
    <w:rsid w:val="00DD1EA1"/>
    <w:rsid w:val="00DD27F4"/>
    <w:rsid w:val="00DD342F"/>
    <w:rsid w:val="00DD4459"/>
    <w:rsid w:val="00DD464D"/>
    <w:rsid w:val="00DD48DA"/>
    <w:rsid w:val="00DD48E0"/>
    <w:rsid w:val="00DD5404"/>
    <w:rsid w:val="00DD71ED"/>
    <w:rsid w:val="00DD7208"/>
    <w:rsid w:val="00DD7FA5"/>
    <w:rsid w:val="00DD7FAC"/>
    <w:rsid w:val="00DE1D9F"/>
    <w:rsid w:val="00DE303E"/>
    <w:rsid w:val="00DE30AC"/>
    <w:rsid w:val="00DE3ED6"/>
    <w:rsid w:val="00DE472E"/>
    <w:rsid w:val="00DE5139"/>
    <w:rsid w:val="00DE693F"/>
    <w:rsid w:val="00DE70CE"/>
    <w:rsid w:val="00DE737D"/>
    <w:rsid w:val="00DE7CED"/>
    <w:rsid w:val="00DF0A0B"/>
    <w:rsid w:val="00DF3623"/>
    <w:rsid w:val="00DF3CB2"/>
    <w:rsid w:val="00DF5125"/>
    <w:rsid w:val="00DF5CAF"/>
    <w:rsid w:val="00DF60B7"/>
    <w:rsid w:val="00DF71E5"/>
    <w:rsid w:val="00DF7A14"/>
    <w:rsid w:val="00DF7F84"/>
    <w:rsid w:val="00E00F38"/>
    <w:rsid w:val="00E02020"/>
    <w:rsid w:val="00E02299"/>
    <w:rsid w:val="00E031E5"/>
    <w:rsid w:val="00E03209"/>
    <w:rsid w:val="00E03F31"/>
    <w:rsid w:val="00E03F99"/>
    <w:rsid w:val="00E04C40"/>
    <w:rsid w:val="00E058D1"/>
    <w:rsid w:val="00E07336"/>
    <w:rsid w:val="00E07A3B"/>
    <w:rsid w:val="00E07B55"/>
    <w:rsid w:val="00E10FCA"/>
    <w:rsid w:val="00E11689"/>
    <w:rsid w:val="00E11C87"/>
    <w:rsid w:val="00E13888"/>
    <w:rsid w:val="00E1626E"/>
    <w:rsid w:val="00E1699E"/>
    <w:rsid w:val="00E17102"/>
    <w:rsid w:val="00E2078D"/>
    <w:rsid w:val="00E21352"/>
    <w:rsid w:val="00E215C2"/>
    <w:rsid w:val="00E21AFB"/>
    <w:rsid w:val="00E23EC5"/>
    <w:rsid w:val="00E24D7E"/>
    <w:rsid w:val="00E25D36"/>
    <w:rsid w:val="00E25D80"/>
    <w:rsid w:val="00E26D43"/>
    <w:rsid w:val="00E30088"/>
    <w:rsid w:val="00E31D2A"/>
    <w:rsid w:val="00E322D5"/>
    <w:rsid w:val="00E32994"/>
    <w:rsid w:val="00E3409E"/>
    <w:rsid w:val="00E34F84"/>
    <w:rsid w:val="00E35186"/>
    <w:rsid w:val="00E36442"/>
    <w:rsid w:val="00E366BE"/>
    <w:rsid w:val="00E3684B"/>
    <w:rsid w:val="00E37326"/>
    <w:rsid w:val="00E410D2"/>
    <w:rsid w:val="00E42467"/>
    <w:rsid w:val="00E42657"/>
    <w:rsid w:val="00E429DA"/>
    <w:rsid w:val="00E42E45"/>
    <w:rsid w:val="00E43591"/>
    <w:rsid w:val="00E4538F"/>
    <w:rsid w:val="00E4579B"/>
    <w:rsid w:val="00E46F84"/>
    <w:rsid w:val="00E47C7F"/>
    <w:rsid w:val="00E52289"/>
    <w:rsid w:val="00E53CFF"/>
    <w:rsid w:val="00E54D0A"/>
    <w:rsid w:val="00E559C3"/>
    <w:rsid w:val="00E5615B"/>
    <w:rsid w:val="00E57464"/>
    <w:rsid w:val="00E6076B"/>
    <w:rsid w:val="00E61255"/>
    <w:rsid w:val="00E62277"/>
    <w:rsid w:val="00E62993"/>
    <w:rsid w:val="00E62DAA"/>
    <w:rsid w:val="00E633BA"/>
    <w:rsid w:val="00E63909"/>
    <w:rsid w:val="00E64745"/>
    <w:rsid w:val="00E649F6"/>
    <w:rsid w:val="00E65EFF"/>
    <w:rsid w:val="00E66403"/>
    <w:rsid w:val="00E66A35"/>
    <w:rsid w:val="00E66A66"/>
    <w:rsid w:val="00E679B7"/>
    <w:rsid w:val="00E70039"/>
    <w:rsid w:val="00E717BE"/>
    <w:rsid w:val="00E726AB"/>
    <w:rsid w:val="00E73DF3"/>
    <w:rsid w:val="00E7475A"/>
    <w:rsid w:val="00E7498E"/>
    <w:rsid w:val="00E749D7"/>
    <w:rsid w:val="00E74C27"/>
    <w:rsid w:val="00E76894"/>
    <w:rsid w:val="00E77590"/>
    <w:rsid w:val="00E8082E"/>
    <w:rsid w:val="00E80862"/>
    <w:rsid w:val="00E81079"/>
    <w:rsid w:val="00E81305"/>
    <w:rsid w:val="00E815EE"/>
    <w:rsid w:val="00E81896"/>
    <w:rsid w:val="00E82357"/>
    <w:rsid w:val="00E824C7"/>
    <w:rsid w:val="00E827A2"/>
    <w:rsid w:val="00E8473F"/>
    <w:rsid w:val="00E84937"/>
    <w:rsid w:val="00E84E9F"/>
    <w:rsid w:val="00E850B9"/>
    <w:rsid w:val="00E87EE7"/>
    <w:rsid w:val="00E909DC"/>
    <w:rsid w:val="00E91DBD"/>
    <w:rsid w:val="00E92759"/>
    <w:rsid w:val="00E934BB"/>
    <w:rsid w:val="00E937DB"/>
    <w:rsid w:val="00E93CB4"/>
    <w:rsid w:val="00E948AF"/>
    <w:rsid w:val="00E95655"/>
    <w:rsid w:val="00E95746"/>
    <w:rsid w:val="00E95A18"/>
    <w:rsid w:val="00E96C1F"/>
    <w:rsid w:val="00EA18A2"/>
    <w:rsid w:val="00EA1DB6"/>
    <w:rsid w:val="00EA2275"/>
    <w:rsid w:val="00EA3734"/>
    <w:rsid w:val="00EA3A0A"/>
    <w:rsid w:val="00EA3FB1"/>
    <w:rsid w:val="00EA4CB1"/>
    <w:rsid w:val="00EA6442"/>
    <w:rsid w:val="00EA64C7"/>
    <w:rsid w:val="00EA70C6"/>
    <w:rsid w:val="00EA7E07"/>
    <w:rsid w:val="00EB0508"/>
    <w:rsid w:val="00EB0FEA"/>
    <w:rsid w:val="00EB186D"/>
    <w:rsid w:val="00EB1A43"/>
    <w:rsid w:val="00EB1C7C"/>
    <w:rsid w:val="00EB210F"/>
    <w:rsid w:val="00EB3F34"/>
    <w:rsid w:val="00EB4A24"/>
    <w:rsid w:val="00EB6AA1"/>
    <w:rsid w:val="00EB7223"/>
    <w:rsid w:val="00EB7D19"/>
    <w:rsid w:val="00EC1415"/>
    <w:rsid w:val="00EC3641"/>
    <w:rsid w:val="00EC42A5"/>
    <w:rsid w:val="00EC4359"/>
    <w:rsid w:val="00EC51CC"/>
    <w:rsid w:val="00EC7241"/>
    <w:rsid w:val="00EC75F4"/>
    <w:rsid w:val="00EC78CF"/>
    <w:rsid w:val="00EC7C76"/>
    <w:rsid w:val="00ED03DB"/>
    <w:rsid w:val="00ED0A56"/>
    <w:rsid w:val="00ED11FA"/>
    <w:rsid w:val="00ED169D"/>
    <w:rsid w:val="00ED1928"/>
    <w:rsid w:val="00ED2106"/>
    <w:rsid w:val="00ED32D2"/>
    <w:rsid w:val="00ED3608"/>
    <w:rsid w:val="00ED3D31"/>
    <w:rsid w:val="00ED3E2A"/>
    <w:rsid w:val="00ED3E40"/>
    <w:rsid w:val="00ED45CD"/>
    <w:rsid w:val="00ED5120"/>
    <w:rsid w:val="00ED54EC"/>
    <w:rsid w:val="00ED5A0C"/>
    <w:rsid w:val="00ED5A45"/>
    <w:rsid w:val="00ED6964"/>
    <w:rsid w:val="00ED6BAD"/>
    <w:rsid w:val="00ED717D"/>
    <w:rsid w:val="00ED75D1"/>
    <w:rsid w:val="00ED79F5"/>
    <w:rsid w:val="00EE3669"/>
    <w:rsid w:val="00EE4A16"/>
    <w:rsid w:val="00EE55B8"/>
    <w:rsid w:val="00EE57B2"/>
    <w:rsid w:val="00EE5C59"/>
    <w:rsid w:val="00EE6AE4"/>
    <w:rsid w:val="00EE7797"/>
    <w:rsid w:val="00EF03F5"/>
    <w:rsid w:val="00EF0838"/>
    <w:rsid w:val="00EF0E67"/>
    <w:rsid w:val="00EF163C"/>
    <w:rsid w:val="00EF1AA4"/>
    <w:rsid w:val="00EF2736"/>
    <w:rsid w:val="00EF3289"/>
    <w:rsid w:val="00EF410E"/>
    <w:rsid w:val="00EF466D"/>
    <w:rsid w:val="00EF4F8C"/>
    <w:rsid w:val="00EF526B"/>
    <w:rsid w:val="00EF577A"/>
    <w:rsid w:val="00EF6044"/>
    <w:rsid w:val="00EF63AC"/>
    <w:rsid w:val="00EF6F3C"/>
    <w:rsid w:val="00EF71F9"/>
    <w:rsid w:val="00EF7341"/>
    <w:rsid w:val="00EF782A"/>
    <w:rsid w:val="00F004CE"/>
    <w:rsid w:val="00F00FCA"/>
    <w:rsid w:val="00F01209"/>
    <w:rsid w:val="00F0186A"/>
    <w:rsid w:val="00F061A8"/>
    <w:rsid w:val="00F0641C"/>
    <w:rsid w:val="00F06A37"/>
    <w:rsid w:val="00F10865"/>
    <w:rsid w:val="00F108F2"/>
    <w:rsid w:val="00F124EA"/>
    <w:rsid w:val="00F12D53"/>
    <w:rsid w:val="00F13895"/>
    <w:rsid w:val="00F13B48"/>
    <w:rsid w:val="00F1476C"/>
    <w:rsid w:val="00F14DEF"/>
    <w:rsid w:val="00F15702"/>
    <w:rsid w:val="00F21534"/>
    <w:rsid w:val="00F21CC3"/>
    <w:rsid w:val="00F21D42"/>
    <w:rsid w:val="00F228D7"/>
    <w:rsid w:val="00F23138"/>
    <w:rsid w:val="00F23C29"/>
    <w:rsid w:val="00F24479"/>
    <w:rsid w:val="00F24E50"/>
    <w:rsid w:val="00F257DF"/>
    <w:rsid w:val="00F25850"/>
    <w:rsid w:val="00F25B82"/>
    <w:rsid w:val="00F26146"/>
    <w:rsid w:val="00F30097"/>
    <w:rsid w:val="00F30B53"/>
    <w:rsid w:val="00F31315"/>
    <w:rsid w:val="00F31392"/>
    <w:rsid w:val="00F316B0"/>
    <w:rsid w:val="00F31753"/>
    <w:rsid w:val="00F3314A"/>
    <w:rsid w:val="00F33362"/>
    <w:rsid w:val="00F34628"/>
    <w:rsid w:val="00F34993"/>
    <w:rsid w:val="00F34DDF"/>
    <w:rsid w:val="00F36748"/>
    <w:rsid w:val="00F368A6"/>
    <w:rsid w:val="00F36F20"/>
    <w:rsid w:val="00F37307"/>
    <w:rsid w:val="00F37A5E"/>
    <w:rsid w:val="00F4007D"/>
    <w:rsid w:val="00F401D7"/>
    <w:rsid w:val="00F40761"/>
    <w:rsid w:val="00F40783"/>
    <w:rsid w:val="00F4096D"/>
    <w:rsid w:val="00F40B8E"/>
    <w:rsid w:val="00F42009"/>
    <w:rsid w:val="00F42A9B"/>
    <w:rsid w:val="00F42C5C"/>
    <w:rsid w:val="00F43416"/>
    <w:rsid w:val="00F43651"/>
    <w:rsid w:val="00F4388B"/>
    <w:rsid w:val="00F43BBA"/>
    <w:rsid w:val="00F4425F"/>
    <w:rsid w:val="00F44AC9"/>
    <w:rsid w:val="00F44D80"/>
    <w:rsid w:val="00F4568D"/>
    <w:rsid w:val="00F45FA8"/>
    <w:rsid w:val="00F467E3"/>
    <w:rsid w:val="00F47311"/>
    <w:rsid w:val="00F504E3"/>
    <w:rsid w:val="00F50E0C"/>
    <w:rsid w:val="00F517B5"/>
    <w:rsid w:val="00F51FB9"/>
    <w:rsid w:val="00F52170"/>
    <w:rsid w:val="00F52509"/>
    <w:rsid w:val="00F5361C"/>
    <w:rsid w:val="00F5450D"/>
    <w:rsid w:val="00F54AD0"/>
    <w:rsid w:val="00F54E37"/>
    <w:rsid w:val="00F552D5"/>
    <w:rsid w:val="00F56629"/>
    <w:rsid w:val="00F570BF"/>
    <w:rsid w:val="00F577C5"/>
    <w:rsid w:val="00F57DBE"/>
    <w:rsid w:val="00F57E12"/>
    <w:rsid w:val="00F6053D"/>
    <w:rsid w:val="00F60DCE"/>
    <w:rsid w:val="00F6106D"/>
    <w:rsid w:val="00F637B6"/>
    <w:rsid w:val="00F638F1"/>
    <w:rsid w:val="00F645ED"/>
    <w:rsid w:val="00F676A9"/>
    <w:rsid w:val="00F678D7"/>
    <w:rsid w:val="00F67E9D"/>
    <w:rsid w:val="00F707A2"/>
    <w:rsid w:val="00F727DE"/>
    <w:rsid w:val="00F72E82"/>
    <w:rsid w:val="00F7328D"/>
    <w:rsid w:val="00F73C5C"/>
    <w:rsid w:val="00F73F90"/>
    <w:rsid w:val="00F7561F"/>
    <w:rsid w:val="00F765B9"/>
    <w:rsid w:val="00F76B76"/>
    <w:rsid w:val="00F8028E"/>
    <w:rsid w:val="00F80D70"/>
    <w:rsid w:val="00F8134C"/>
    <w:rsid w:val="00F82978"/>
    <w:rsid w:val="00F8339E"/>
    <w:rsid w:val="00F83CA1"/>
    <w:rsid w:val="00F8574C"/>
    <w:rsid w:val="00F86C5E"/>
    <w:rsid w:val="00F86D03"/>
    <w:rsid w:val="00F86F1A"/>
    <w:rsid w:val="00F873B5"/>
    <w:rsid w:val="00F879CF"/>
    <w:rsid w:val="00F90607"/>
    <w:rsid w:val="00F90896"/>
    <w:rsid w:val="00F9094D"/>
    <w:rsid w:val="00F90CD8"/>
    <w:rsid w:val="00F91136"/>
    <w:rsid w:val="00F91996"/>
    <w:rsid w:val="00F91C8D"/>
    <w:rsid w:val="00F92684"/>
    <w:rsid w:val="00F92886"/>
    <w:rsid w:val="00F93BAA"/>
    <w:rsid w:val="00F94AC9"/>
    <w:rsid w:val="00F94ECE"/>
    <w:rsid w:val="00F95AE8"/>
    <w:rsid w:val="00F965BD"/>
    <w:rsid w:val="00F9664D"/>
    <w:rsid w:val="00FA042A"/>
    <w:rsid w:val="00FA2607"/>
    <w:rsid w:val="00FA2947"/>
    <w:rsid w:val="00FA407D"/>
    <w:rsid w:val="00FA52D3"/>
    <w:rsid w:val="00FA5757"/>
    <w:rsid w:val="00FA6768"/>
    <w:rsid w:val="00FA6F52"/>
    <w:rsid w:val="00FA77FD"/>
    <w:rsid w:val="00FA7CE4"/>
    <w:rsid w:val="00FB0901"/>
    <w:rsid w:val="00FB1709"/>
    <w:rsid w:val="00FB1F20"/>
    <w:rsid w:val="00FB494B"/>
    <w:rsid w:val="00FB5B17"/>
    <w:rsid w:val="00FB5B89"/>
    <w:rsid w:val="00FB5D0C"/>
    <w:rsid w:val="00FB60BB"/>
    <w:rsid w:val="00FB7716"/>
    <w:rsid w:val="00FC0BC9"/>
    <w:rsid w:val="00FC1D3F"/>
    <w:rsid w:val="00FC1DE2"/>
    <w:rsid w:val="00FC2540"/>
    <w:rsid w:val="00FC310C"/>
    <w:rsid w:val="00FC31A1"/>
    <w:rsid w:val="00FC4B0C"/>
    <w:rsid w:val="00FC596F"/>
    <w:rsid w:val="00FC6D0F"/>
    <w:rsid w:val="00FC7480"/>
    <w:rsid w:val="00FD0741"/>
    <w:rsid w:val="00FD3229"/>
    <w:rsid w:val="00FD3EE3"/>
    <w:rsid w:val="00FD4446"/>
    <w:rsid w:val="00FD4809"/>
    <w:rsid w:val="00FD537D"/>
    <w:rsid w:val="00FD57D2"/>
    <w:rsid w:val="00FD5E9A"/>
    <w:rsid w:val="00FD612D"/>
    <w:rsid w:val="00FD630A"/>
    <w:rsid w:val="00FD767C"/>
    <w:rsid w:val="00FE2FA9"/>
    <w:rsid w:val="00FE3021"/>
    <w:rsid w:val="00FE3C10"/>
    <w:rsid w:val="00FE432D"/>
    <w:rsid w:val="00FE4731"/>
    <w:rsid w:val="00FE4F3B"/>
    <w:rsid w:val="00FE5E16"/>
    <w:rsid w:val="00FE6810"/>
    <w:rsid w:val="00FE6E9E"/>
    <w:rsid w:val="00FE6EE6"/>
    <w:rsid w:val="00FE6F78"/>
    <w:rsid w:val="00FE7507"/>
    <w:rsid w:val="00FF0699"/>
    <w:rsid w:val="00FF139D"/>
    <w:rsid w:val="00FF1BC2"/>
    <w:rsid w:val="00FF1E91"/>
    <w:rsid w:val="00FF24CE"/>
    <w:rsid w:val="00FF29DA"/>
    <w:rsid w:val="00FF33E2"/>
    <w:rsid w:val="00FF5DCA"/>
    <w:rsid w:val="00FF6152"/>
    <w:rsid w:val="00FF646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A3D9"/>
  <w15:docId w15:val="{F6AC8A37-D68C-874D-ADF6-B6F80F55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EBB"/>
    <w:pPr>
      <w:spacing w:after="200" w:line="276" w:lineRule="auto"/>
    </w:pPr>
    <w:rPr>
      <w:sz w:val="22"/>
      <w:szCs w:val="22"/>
      <w:lang w:eastAsia="en-US"/>
    </w:rPr>
  </w:style>
  <w:style w:type="paragraph" w:styleId="Ttulo1">
    <w:name w:val="heading 1"/>
    <w:basedOn w:val="Normal"/>
    <w:next w:val="Normal"/>
    <w:link w:val="Ttulo1Car"/>
    <w:uiPriority w:val="9"/>
    <w:qFormat/>
    <w:rsid w:val="00C46FD1"/>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qFormat/>
    <w:rsid w:val="00636CA3"/>
    <w:pPr>
      <w:keepNext/>
      <w:spacing w:before="240" w:after="60" w:line="240" w:lineRule="auto"/>
      <w:outlineLvl w:val="1"/>
    </w:pPr>
    <w:rPr>
      <w:rFonts w:ascii="Arial" w:eastAsia="Times New Roman" w:hAnsi="Arial" w:cs="Arial"/>
      <w:b/>
      <w:bCs/>
      <w:i/>
      <w:iCs/>
      <w:sz w:val="28"/>
      <w:szCs w:val="28"/>
      <w:lang w:val="es-ES" w:eastAsia="es-ES"/>
    </w:rPr>
  </w:style>
  <w:style w:type="paragraph" w:styleId="Ttulo7">
    <w:name w:val="heading 7"/>
    <w:basedOn w:val="Normal"/>
    <w:next w:val="Normal"/>
    <w:link w:val="Ttulo7Car"/>
    <w:uiPriority w:val="9"/>
    <w:semiHidden/>
    <w:unhideWhenUsed/>
    <w:qFormat/>
    <w:rsid w:val="00C46FD1"/>
    <w:pPr>
      <w:spacing w:before="240" w:after="60"/>
      <w:outlineLvl w:val="6"/>
    </w:pPr>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355C9"/>
    <w:rPr>
      <w:sz w:val="22"/>
      <w:szCs w:val="22"/>
      <w:lang w:eastAsia="en-US"/>
    </w:rPr>
  </w:style>
  <w:style w:type="paragraph" w:styleId="Encabezado">
    <w:name w:val="header"/>
    <w:basedOn w:val="Normal"/>
    <w:link w:val="EncabezadoCar"/>
    <w:unhideWhenUsed/>
    <w:rsid w:val="003355C9"/>
    <w:pPr>
      <w:tabs>
        <w:tab w:val="center" w:pos="4419"/>
        <w:tab w:val="right" w:pos="8838"/>
      </w:tabs>
    </w:pPr>
  </w:style>
  <w:style w:type="character" w:customStyle="1" w:styleId="EncabezadoCar">
    <w:name w:val="Encabezado Car"/>
    <w:link w:val="Encabezado"/>
    <w:uiPriority w:val="99"/>
    <w:rsid w:val="003355C9"/>
    <w:rPr>
      <w:sz w:val="22"/>
      <w:szCs w:val="22"/>
      <w:lang w:eastAsia="en-US"/>
    </w:rPr>
  </w:style>
  <w:style w:type="paragraph" w:styleId="Piedepgina">
    <w:name w:val="footer"/>
    <w:basedOn w:val="Normal"/>
    <w:link w:val="PiedepginaCar"/>
    <w:uiPriority w:val="99"/>
    <w:unhideWhenUsed/>
    <w:rsid w:val="003355C9"/>
    <w:pPr>
      <w:tabs>
        <w:tab w:val="center" w:pos="4419"/>
        <w:tab w:val="right" w:pos="8838"/>
      </w:tabs>
    </w:pPr>
  </w:style>
  <w:style w:type="character" w:customStyle="1" w:styleId="PiedepginaCar">
    <w:name w:val="Pie de página Car"/>
    <w:link w:val="Piedepgina"/>
    <w:uiPriority w:val="99"/>
    <w:rsid w:val="003355C9"/>
    <w:rPr>
      <w:sz w:val="22"/>
      <w:szCs w:val="22"/>
      <w:lang w:eastAsia="en-US"/>
    </w:rPr>
  </w:style>
  <w:style w:type="character" w:styleId="Refdenotaalpie">
    <w:name w:val="footnote reference"/>
    <w:aliases w:val="FC,Texto de nota al pie,Footnotes refss,Appel note de bas de page,referencia nota al pie,Footnote number,BVI fnr,f,Ref. de nota al pie 2,Pie de Página,4_G,16 Point,Superscript 6 Point,Texto nota al pie,Texto de nota al pi,Pie de Pàgi"/>
    <w:link w:val="Refdenotaalpie2"/>
    <w:qFormat/>
    <w:rsid w:val="00322CC6"/>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a,Footnote Text Char"/>
    <w:basedOn w:val="Normal"/>
    <w:link w:val="TextonotapieCar"/>
    <w:qFormat/>
    <w:rsid w:val="00322CC6"/>
    <w:pPr>
      <w:spacing w:after="0" w:line="240" w:lineRule="auto"/>
    </w:pPr>
    <w:rPr>
      <w:rFonts w:ascii="Arial" w:eastAsia="Times New Roman" w:hAnsi="Arial"/>
      <w:sz w:val="20"/>
      <w:szCs w:val="20"/>
      <w:lang w:val="es-ES_tradnl" w:eastAsia="es-ES"/>
    </w:rPr>
  </w:style>
  <w:style w:type="character" w:customStyle="1" w:styleId="TextonotapieCar">
    <w:name w:val="Texto nota pie Car"/>
    <w:aliases w:val="Footnote Text Char Char Char Char Char Car1,Footnote Text Char Char Char Char Car1,Footnote reference Car1,FA Fu Car1,Footnote Text Cha Car1,Footnote Text Char Char Char Car1,FA Fußnotentext Car1,FA Fuﬂnotentext Car1,Ca Car"/>
    <w:link w:val="Textonotapie"/>
    <w:uiPriority w:val="99"/>
    <w:rsid w:val="00322CC6"/>
    <w:rPr>
      <w:rFonts w:ascii="Arial" w:eastAsia="Times New Roman" w:hAnsi="Arial"/>
      <w:lang w:val="es-ES_tradnl" w:eastAsia="es-ES"/>
    </w:rPr>
  </w:style>
  <w:style w:type="paragraph" w:styleId="Textodeglobo">
    <w:name w:val="Balloon Text"/>
    <w:basedOn w:val="Normal"/>
    <w:link w:val="TextodegloboCar"/>
    <w:uiPriority w:val="99"/>
    <w:semiHidden/>
    <w:unhideWhenUsed/>
    <w:rsid w:val="001760E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760E7"/>
    <w:rPr>
      <w:rFonts w:ascii="Tahoma" w:hAnsi="Tahoma" w:cs="Tahoma"/>
      <w:sz w:val="16"/>
      <w:szCs w:val="16"/>
      <w:lang w:eastAsia="en-US"/>
    </w:rPr>
  </w:style>
  <w:style w:type="paragraph" w:customStyle="1" w:styleId="Car">
    <w:name w:val="Car"/>
    <w:basedOn w:val="Normal"/>
    <w:rsid w:val="00DD27F4"/>
    <w:pPr>
      <w:spacing w:after="160" w:line="240" w:lineRule="atLeast"/>
    </w:pPr>
    <w:rPr>
      <w:rFonts w:ascii="Times New Roman" w:eastAsia="Times New Roman" w:hAnsi="Times New Roman"/>
      <w:color w:val="000000"/>
      <w:sz w:val="20"/>
      <w:szCs w:val="20"/>
      <w:lang w:val="es-ES" w:eastAsia="es-ES"/>
    </w:rPr>
  </w:style>
  <w:style w:type="paragraph" w:customStyle="1" w:styleId="Profesin">
    <w:name w:val="ProfesiÛn"/>
    <w:basedOn w:val="Normal"/>
    <w:rsid w:val="00F43BBA"/>
    <w:pPr>
      <w:tabs>
        <w:tab w:val="left" w:pos="1134"/>
      </w:tabs>
      <w:spacing w:after="0" w:line="360" w:lineRule="atLeast"/>
      <w:jc w:val="center"/>
    </w:pPr>
    <w:rPr>
      <w:rFonts w:ascii="Arial" w:eastAsia="Times New Roman" w:hAnsi="Arial"/>
      <w:b/>
      <w:sz w:val="32"/>
      <w:szCs w:val="20"/>
      <w:lang w:eastAsia="es-ES"/>
    </w:rPr>
  </w:style>
  <w:style w:type="character" w:customStyle="1" w:styleId="Ttulo2Car">
    <w:name w:val="Título 2 Car"/>
    <w:link w:val="Ttulo2"/>
    <w:rsid w:val="00636CA3"/>
    <w:rPr>
      <w:rFonts w:ascii="Arial" w:eastAsia="Times New Roman" w:hAnsi="Arial" w:cs="Arial"/>
      <w:b/>
      <w:bCs/>
      <w:i/>
      <w:iCs/>
      <w:sz w:val="28"/>
      <w:szCs w:val="28"/>
      <w:lang w:val="es-ES" w:eastAsia="es-ES"/>
    </w:rPr>
  </w:style>
  <w:style w:type="paragraph" w:styleId="Descripcin">
    <w:name w:val="caption"/>
    <w:basedOn w:val="Normal"/>
    <w:next w:val="Normal"/>
    <w:qFormat/>
    <w:rsid w:val="00636CA3"/>
    <w:pPr>
      <w:spacing w:after="0" w:line="240" w:lineRule="auto"/>
      <w:jc w:val="center"/>
    </w:pPr>
    <w:rPr>
      <w:rFonts w:ascii="ShelleyVolante BT" w:eastAsia="Times New Roman" w:hAnsi="ShelleyVolante BT"/>
      <w:b/>
      <w:bCs/>
      <w:sz w:val="28"/>
      <w:szCs w:val="24"/>
      <w:lang w:val="es-ES" w:eastAsia="es-ES"/>
    </w:rPr>
  </w:style>
  <w:style w:type="paragraph" w:customStyle="1" w:styleId="CarCar">
    <w:name w:val="Car Car"/>
    <w:basedOn w:val="Normal"/>
    <w:rsid w:val="00796D6F"/>
    <w:pPr>
      <w:spacing w:after="160" w:line="240" w:lineRule="atLeast"/>
    </w:pPr>
    <w:rPr>
      <w:rFonts w:ascii="Times New Roman" w:eastAsia="Times New Roman" w:hAnsi="Times New Roman"/>
      <w:color w:val="000000"/>
      <w:sz w:val="20"/>
      <w:szCs w:val="20"/>
      <w:lang w:val="es-ES" w:eastAsia="es-ES"/>
    </w:rPr>
  </w:style>
  <w:style w:type="paragraph" w:styleId="Textoindependiente">
    <w:name w:val="Body Text"/>
    <w:basedOn w:val="Normal"/>
    <w:link w:val="TextoindependienteCar"/>
    <w:rsid w:val="00FD612D"/>
    <w:pPr>
      <w:spacing w:after="0" w:line="240" w:lineRule="auto"/>
      <w:jc w:val="both"/>
    </w:pPr>
    <w:rPr>
      <w:rFonts w:ascii="Arial" w:eastAsia="Times New Roman" w:hAnsi="Arial" w:cs="Arial"/>
      <w:b/>
      <w:w w:val="110"/>
      <w:sz w:val="28"/>
      <w:szCs w:val="24"/>
      <w:lang w:val="es-ES" w:eastAsia="es-ES"/>
    </w:rPr>
  </w:style>
  <w:style w:type="character" w:customStyle="1" w:styleId="TextoindependienteCar">
    <w:name w:val="Texto independiente Car"/>
    <w:link w:val="Textoindependiente"/>
    <w:rsid w:val="00FD612D"/>
    <w:rPr>
      <w:rFonts w:ascii="Arial" w:eastAsia="Times New Roman" w:hAnsi="Arial" w:cs="Arial"/>
      <w:b/>
      <w:w w:val="110"/>
      <w:sz w:val="28"/>
      <w:szCs w:val="24"/>
      <w:lang w:val="es-ES" w:eastAsia="es-ES"/>
    </w:rPr>
  </w:style>
  <w:style w:type="paragraph" w:customStyle="1" w:styleId="Textoindependiente21">
    <w:name w:val="Texto independiente 21"/>
    <w:basedOn w:val="Normal"/>
    <w:rsid w:val="00C600FE"/>
    <w:pPr>
      <w:spacing w:after="0" w:line="360" w:lineRule="auto"/>
      <w:ind w:firstLine="2127"/>
      <w:jc w:val="both"/>
    </w:pPr>
    <w:rPr>
      <w:rFonts w:ascii="Arial" w:eastAsia="Times New Roman" w:hAnsi="Arial"/>
      <w:sz w:val="28"/>
      <w:szCs w:val="20"/>
      <w:lang w:val="es-ES_tradnl" w:eastAsia="es-ES"/>
    </w:rPr>
  </w:style>
  <w:style w:type="character" w:customStyle="1" w:styleId="FontStyle23">
    <w:name w:val="Font Style23"/>
    <w:uiPriority w:val="99"/>
    <w:rsid w:val="00DD5404"/>
    <w:rPr>
      <w:rFonts w:ascii="Times New Roman" w:hAnsi="Times New Roman" w:cs="Times New Roman" w:hint="default"/>
      <w:i/>
      <w:iCs/>
      <w:sz w:val="22"/>
      <w:szCs w:val="22"/>
    </w:rPr>
  </w:style>
  <w:style w:type="character" w:customStyle="1" w:styleId="FontStyle34">
    <w:name w:val="Font Style34"/>
    <w:uiPriority w:val="99"/>
    <w:rsid w:val="00467D57"/>
    <w:rPr>
      <w:rFonts w:ascii="Times New Roman" w:hAnsi="Times New Roman" w:cs="Times New Roman"/>
      <w:spacing w:val="10"/>
      <w:sz w:val="24"/>
      <w:szCs w:val="24"/>
    </w:rPr>
  </w:style>
  <w:style w:type="character" w:customStyle="1" w:styleId="FontStyle40">
    <w:name w:val="Font Style40"/>
    <w:uiPriority w:val="99"/>
    <w:rsid w:val="00112A6D"/>
    <w:rPr>
      <w:rFonts w:ascii="Times New Roman" w:hAnsi="Times New Roman" w:cs="Times New Roman"/>
      <w:i/>
      <w:iCs/>
      <w:sz w:val="24"/>
      <w:szCs w:val="24"/>
    </w:rPr>
  </w:style>
  <w:style w:type="paragraph" w:styleId="NormalWeb">
    <w:name w:val="Normal (Web)"/>
    <w:basedOn w:val="Normal"/>
    <w:uiPriority w:val="99"/>
    <w:unhideWhenUsed/>
    <w:rsid w:val="007D2F03"/>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notapieCar1">
    <w:name w:val="Texto nota pie Car1"/>
    <w:aliases w:val="Footnote Text Char Char Char Char Char Car,Footnote Text Char Char Char Char Car,Footnote reference Car,FA Fu Car,Footnote Text Cha Car,Footnote Text Char Char Char Car,FA Fußnotentext Car,FA Fuﬂnotentext Car,FA Fu?notentext Car"/>
    <w:locked/>
    <w:rsid w:val="00692C6E"/>
    <w:rPr>
      <w:rFonts w:ascii="Times New Roman" w:eastAsia="Times New Roman" w:hAnsi="Times New Roman" w:cs="Times New Roman"/>
      <w:sz w:val="20"/>
      <w:szCs w:val="20"/>
      <w:lang w:eastAsia="es-ES"/>
    </w:rPr>
  </w:style>
  <w:style w:type="paragraph" w:customStyle="1" w:styleId="Style6">
    <w:name w:val="Style6"/>
    <w:basedOn w:val="Normal"/>
    <w:uiPriority w:val="99"/>
    <w:rsid w:val="00485D73"/>
    <w:pPr>
      <w:widowControl w:val="0"/>
      <w:autoSpaceDE w:val="0"/>
      <w:autoSpaceDN w:val="0"/>
      <w:adjustRightInd w:val="0"/>
      <w:spacing w:after="0" w:line="453" w:lineRule="exact"/>
      <w:ind w:firstLine="1358"/>
      <w:jc w:val="both"/>
    </w:pPr>
    <w:rPr>
      <w:rFonts w:ascii="Arial Narrow" w:eastAsia="Times New Roman" w:hAnsi="Arial Narrow"/>
      <w:sz w:val="24"/>
      <w:szCs w:val="24"/>
      <w:lang w:eastAsia="es-CO"/>
    </w:rPr>
  </w:style>
  <w:style w:type="paragraph" w:customStyle="1" w:styleId="Style22">
    <w:name w:val="Style22"/>
    <w:basedOn w:val="Normal"/>
    <w:uiPriority w:val="99"/>
    <w:rsid w:val="00485D73"/>
    <w:pPr>
      <w:widowControl w:val="0"/>
      <w:autoSpaceDE w:val="0"/>
      <w:autoSpaceDN w:val="0"/>
      <w:adjustRightInd w:val="0"/>
      <w:spacing w:after="0" w:line="452" w:lineRule="exact"/>
      <w:ind w:firstLine="1373"/>
      <w:jc w:val="both"/>
    </w:pPr>
    <w:rPr>
      <w:rFonts w:ascii="Arial Narrow" w:eastAsia="Times New Roman" w:hAnsi="Arial Narrow"/>
      <w:sz w:val="24"/>
      <w:szCs w:val="24"/>
      <w:lang w:eastAsia="es-CO"/>
    </w:rPr>
  </w:style>
  <w:style w:type="character" w:customStyle="1" w:styleId="FontStyle36">
    <w:name w:val="Font Style36"/>
    <w:uiPriority w:val="99"/>
    <w:rsid w:val="00485D73"/>
    <w:rPr>
      <w:rFonts w:ascii="Arial Narrow" w:hAnsi="Arial Narrow" w:cs="Arial Narrow" w:hint="default"/>
      <w:sz w:val="26"/>
      <w:szCs w:val="26"/>
    </w:rPr>
  </w:style>
  <w:style w:type="character" w:customStyle="1" w:styleId="FontStyle49">
    <w:name w:val="Font Style49"/>
    <w:uiPriority w:val="99"/>
    <w:rsid w:val="00485D73"/>
    <w:rPr>
      <w:rFonts w:ascii="Arial Narrow" w:hAnsi="Arial Narrow" w:cs="Arial Narrow" w:hint="default"/>
      <w:i/>
      <w:iCs/>
      <w:sz w:val="26"/>
      <w:szCs w:val="26"/>
    </w:rPr>
  </w:style>
  <w:style w:type="character" w:customStyle="1" w:styleId="FontStyle33">
    <w:name w:val="Font Style33"/>
    <w:uiPriority w:val="99"/>
    <w:rsid w:val="00947341"/>
    <w:rPr>
      <w:rFonts w:ascii="SimSun" w:eastAsia="SimSun" w:cs="SimSun"/>
      <w:b/>
      <w:bCs/>
      <w:sz w:val="14"/>
      <w:szCs w:val="14"/>
    </w:rPr>
  </w:style>
  <w:style w:type="paragraph" w:customStyle="1" w:styleId="BodyTextIndent1">
    <w:name w:val="Body Text Indent1"/>
    <w:basedOn w:val="Normal"/>
    <w:rsid w:val="00C46FD1"/>
    <w:pPr>
      <w:autoSpaceDE w:val="0"/>
      <w:autoSpaceDN w:val="0"/>
      <w:spacing w:after="0" w:line="360" w:lineRule="auto"/>
      <w:jc w:val="both"/>
    </w:pPr>
    <w:rPr>
      <w:rFonts w:ascii="Arial" w:eastAsia="Times New Roman" w:hAnsi="Arial" w:cs="Arial"/>
      <w:sz w:val="26"/>
      <w:szCs w:val="26"/>
      <w:lang w:val="es-ES" w:eastAsia="es-ES"/>
    </w:rPr>
  </w:style>
  <w:style w:type="character" w:customStyle="1" w:styleId="Ttulo7Car">
    <w:name w:val="Título 7 Car"/>
    <w:link w:val="Ttulo7"/>
    <w:uiPriority w:val="9"/>
    <w:semiHidden/>
    <w:rsid w:val="00C46FD1"/>
    <w:rPr>
      <w:rFonts w:ascii="Calibri" w:eastAsia="Times New Roman" w:hAnsi="Calibri" w:cs="Times New Roman"/>
      <w:sz w:val="24"/>
      <w:szCs w:val="24"/>
      <w:lang w:eastAsia="en-US"/>
    </w:rPr>
  </w:style>
  <w:style w:type="character" w:customStyle="1" w:styleId="Ttulo1Car">
    <w:name w:val="Título 1 Car"/>
    <w:link w:val="Ttulo1"/>
    <w:rsid w:val="00C46FD1"/>
    <w:rPr>
      <w:rFonts w:ascii="Calibri Light" w:eastAsia="Times New Roman" w:hAnsi="Calibri Light" w:cs="Times New Roman"/>
      <w:b/>
      <w:bCs/>
      <w:kern w:val="32"/>
      <w:sz w:val="32"/>
      <w:szCs w:val="32"/>
      <w:lang w:eastAsia="en-US"/>
    </w:rPr>
  </w:style>
  <w:style w:type="paragraph" w:customStyle="1" w:styleId="NormalCSJ">
    <w:name w:val="Normal CSJ"/>
    <w:basedOn w:val="Normal"/>
    <w:link w:val="NormalCSJCar"/>
    <w:qFormat/>
    <w:rsid w:val="00C46FD1"/>
    <w:pPr>
      <w:spacing w:after="0" w:line="360" w:lineRule="auto"/>
      <w:ind w:firstLine="709"/>
      <w:jc w:val="both"/>
    </w:pPr>
    <w:rPr>
      <w:rFonts w:ascii="Bookman Old Style" w:hAnsi="Bookman Old Style"/>
      <w:sz w:val="28"/>
      <w:szCs w:val="28"/>
      <w:lang w:val="es-ES" w:eastAsia="es-ES"/>
    </w:rPr>
  </w:style>
  <w:style w:type="character" w:customStyle="1" w:styleId="NormalCSJCar">
    <w:name w:val="Normal CSJ Car"/>
    <w:link w:val="NormalCSJ"/>
    <w:rsid w:val="00C46FD1"/>
    <w:rPr>
      <w:rFonts w:ascii="Bookman Old Style" w:hAnsi="Bookman Old Style"/>
      <w:sz w:val="28"/>
      <w:szCs w:val="28"/>
      <w:lang w:val="es-ES" w:eastAsia="es-ES"/>
    </w:rPr>
  </w:style>
  <w:style w:type="character" w:styleId="Refdecomentario">
    <w:name w:val="annotation reference"/>
    <w:basedOn w:val="Fuentedeprrafopredeter"/>
    <w:uiPriority w:val="99"/>
    <w:semiHidden/>
    <w:unhideWhenUsed/>
    <w:rsid w:val="00F33362"/>
    <w:rPr>
      <w:sz w:val="16"/>
      <w:szCs w:val="16"/>
    </w:rPr>
  </w:style>
  <w:style w:type="paragraph" w:styleId="Textocomentario">
    <w:name w:val="annotation text"/>
    <w:basedOn w:val="Normal"/>
    <w:link w:val="TextocomentarioCar"/>
    <w:uiPriority w:val="99"/>
    <w:semiHidden/>
    <w:unhideWhenUsed/>
    <w:rsid w:val="00F333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3362"/>
    <w:rPr>
      <w:lang w:eastAsia="en-US"/>
    </w:rPr>
  </w:style>
  <w:style w:type="paragraph" w:styleId="Asuntodelcomentario">
    <w:name w:val="annotation subject"/>
    <w:basedOn w:val="Textocomentario"/>
    <w:next w:val="Textocomentario"/>
    <w:link w:val="AsuntodelcomentarioCar"/>
    <w:uiPriority w:val="99"/>
    <w:semiHidden/>
    <w:unhideWhenUsed/>
    <w:rsid w:val="00F33362"/>
    <w:rPr>
      <w:b/>
      <w:bCs/>
    </w:rPr>
  </w:style>
  <w:style w:type="character" w:customStyle="1" w:styleId="AsuntodelcomentarioCar">
    <w:name w:val="Asunto del comentario Car"/>
    <w:basedOn w:val="TextocomentarioCar"/>
    <w:link w:val="Asuntodelcomentario"/>
    <w:uiPriority w:val="99"/>
    <w:semiHidden/>
    <w:rsid w:val="00F33362"/>
    <w:rPr>
      <w:b/>
      <w:bCs/>
      <w:lang w:eastAsia="en-US"/>
    </w:rPr>
  </w:style>
  <w:style w:type="paragraph" w:styleId="Ttulo">
    <w:name w:val="Title"/>
    <w:basedOn w:val="Normal"/>
    <w:next w:val="Normal"/>
    <w:link w:val="TtuloCar"/>
    <w:uiPriority w:val="10"/>
    <w:qFormat/>
    <w:rsid w:val="00C40B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0BA5"/>
    <w:rPr>
      <w:rFonts w:asciiTheme="majorHAnsi" w:eastAsiaTheme="majorEastAsia" w:hAnsiTheme="majorHAnsi" w:cstheme="majorBidi"/>
      <w:spacing w:val="-10"/>
      <w:kern w:val="28"/>
      <w:sz w:val="56"/>
      <w:szCs w:val="56"/>
      <w:lang w:eastAsia="en-US"/>
    </w:rPr>
  </w:style>
  <w:style w:type="character" w:customStyle="1" w:styleId="apple-converted-space">
    <w:name w:val="apple-converted-space"/>
    <w:basedOn w:val="Fuentedeprrafopredeter"/>
    <w:rsid w:val="00E10FCA"/>
  </w:style>
  <w:style w:type="paragraph" w:styleId="Textoindependiente2">
    <w:name w:val="Body Text 2"/>
    <w:basedOn w:val="Normal"/>
    <w:link w:val="Textoindependiente2Car"/>
    <w:uiPriority w:val="99"/>
    <w:unhideWhenUsed/>
    <w:rsid w:val="00F36F20"/>
    <w:pPr>
      <w:spacing w:after="120" w:line="480" w:lineRule="auto"/>
      <w:jc w:val="both"/>
    </w:pPr>
    <w:rPr>
      <w:rFonts w:ascii="Bookman Old Style" w:eastAsia="Times New Roman" w:hAnsi="Bookman Old Style" w:cs="Arial"/>
      <w:sz w:val="28"/>
      <w:szCs w:val="20"/>
      <w:lang w:val="es-ES_tradnl" w:eastAsia="es-ES"/>
    </w:rPr>
  </w:style>
  <w:style w:type="character" w:customStyle="1" w:styleId="Textoindependiente2Car">
    <w:name w:val="Texto independiente 2 Car"/>
    <w:basedOn w:val="Fuentedeprrafopredeter"/>
    <w:link w:val="Textoindependiente2"/>
    <w:uiPriority w:val="99"/>
    <w:rsid w:val="00F36F20"/>
    <w:rPr>
      <w:rFonts w:ascii="Bookman Old Style" w:eastAsia="Times New Roman" w:hAnsi="Bookman Old Style" w:cs="Arial"/>
      <w:sz w:val="28"/>
      <w:lang w:val="es-ES_tradnl" w:eastAsia="es-ES"/>
    </w:rPr>
  </w:style>
  <w:style w:type="character" w:styleId="Nmerodepgina">
    <w:name w:val="page number"/>
    <w:basedOn w:val="Fuentedeprrafopredeter"/>
    <w:uiPriority w:val="99"/>
    <w:semiHidden/>
    <w:unhideWhenUsed/>
    <w:rsid w:val="00F23C29"/>
  </w:style>
  <w:style w:type="paragraph" w:customStyle="1" w:styleId="Refdenotaalpie2">
    <w:name w:val="Ref. de nota al pie2"/>
    <w:aliases w:val="Nota de pie,Pie de pagina"/>
    <w:basedOn w:val="Normal"/>
    <w:link w:val="Refdenotaalpie"/>
    <w:uiPriority w:val="99"/>
    <w:rsid w:val="00F10865"/>
    <w:pPr>
      <w:spacing w:after="160" w:line="240" w:lineRule="exact"/>
    </w:pPr>
    <w:rPr>
      <w:sz w:val="20"/>
      <w:szCs w:val="20"/>
      <w:vertAlign w:val="superscript"/>
      <w:lang w:eastAsia="es-CO"/>
    </w:rPr>
  </w:style>
  <w:style w:type="paragraph" w:styleId="Prrafodelista">
    <w:name w:val="List Paragraph"/>
    <w:basedOn w:val="Normal"/>
    <w:uiPriority w:val="34"/>
    <w:qFormat/>
    <w:rsid w:val="00E559C3"/>
    <w:pPr>
      <w:ind w:left="720"/>
      <w:contextualSpacing/>
    </w:pPr>
  </w:style>
  <w:style w:type="character" w:styleId="nfasis">
    <w:name w:val="Emphasis"/>
    <w:basedOn w:val="Fuentedeprrafopredeter"/>
    <w:uiPriority w:val="20"/>
    <w:qFormat/>
    <w:rsid w:val="00E429DA"/>
    <w:rPr>
      <w:i/>
      <w:iCs/>
    </w:rPr>
  </w:style>
  <w:style w:type="paragraph" w:customStyle="1" w:styleId="Prrafodelista1">
    <w:name w:val="Párrafo de lista1"/>
    <w:basedOn w:val="Normal"/>
    <w:rsid w:val="00004B9A"/>
    <w:pPr>
      <w:spacing w:before="100" w:beforeAutospacing="1" w:after="100" w:afterAutospacing="1" w:line="256" w:lineRule="auto"/>
      <w:contextualSpacing/>
    </w:pPr>
    <w:rPr>
      <w:rFonts w:eastAsia="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297982">
      <w:bodyDiv w:val="1"/>
      <w:marLeft w:val="0"/>
      <w:marRight w:val="0"/>
      <w:marTop w:val="0"/>
      <w:marBottom w:val="0"/>
      <w:divBdr>
        <w:top w:val="none" w:sz="0" w:space="0" w:color="auto"/>
        <w:left w:val="none" w:sz="0" w:space="0" w:color="auto"/>
        <w:bottom w:val="none" w:sz="0" w:space="0" w:color="auto"/>
        <w:right w:val="none" w:sz="0" w:space="0" w:color="auto"/>
      </w:divBdr>
    </w:div>
    <w:div w:id="467430741">
      <w:bodyDiv w:val="1"/>
      <w:marLeft w:val="0"/>
      <w:marRight w:val="0"/>
      <w:marTop w:val="0"/>
      <w:marBottom w:val="0"/>
      <w:divBdr>
        <w:top w:val="none" w:sz="0" w:space="0" w:color="auto"/>
        <w:left w:val="none" w:sz="0" w:space="0" w:color="auto"/>
        <w:bottom w:val="none" w:sz="0" w:space="0" w:color="auto"/>
        <w:right w:val="none" w:sz="0" w:space="0" w:color="auto"/>
      </w:divBdr>
      <w:divsChild>
        <w:div w:id="2134328652">
          <w:marLeft w:val="0"/>
          <w:marRight w:val="0"/>
          <w:marTop w:val="0"/>
          <w:marBottom w:val="0"/>
          <w:divBdr>
            <w:top w:val="none" w:sz="0" w:space="0" w:color="auto"/>
            <w:left w:val="none" w:sz="0" w:space="0" w:color="auto"/>
            <w:bottom w:val="none" w:sz="0" w:space="0" w:color="auto"/>
            <w:right w:val="none" w:sz="0" w:space="0" w:color="auto"/>
          </w:divBdr>
          <w:divsChild>
            <w:div w:id="1463571348">
              <w:marLeft w:val="0"/>
              <w:marRight w:val="0"/>
              <w:marTop w:val="0"/>
              <w:marBottom w:val="0"/>
              <w:divBdr>
                <w:top w:val="none" w:sz="0" w:space="0" w:color="auto"/>
                <w:left w:val="none" w:sz="0" w:space="0" w:color="auto"/>
                <w:bottom w:val="none" w:sz="0" w:space="0" w:color="auto"/>
                <w:right w:val="none" w:sz="0" w:space="0" w:color="auto"/>
              </w:divBdr>
              <w:divsChild>
                <w:div w:id="14394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0378">
      <w:bodyDiv w:val="1"/>
      <w:marLeft w:val="0"/>
      <w:marRight w:val="0"/>
      <w:marTop w:val="0"/>
      <w:marBottom w:val="0"/>
      <w:divBdr>
        <w:top w:val="none" w:sz="0" w:space="0" w:color="auto"/>
        <w:left w:val="none" w:sz="0" w:space="0" w:color="auto"/>
        <w:bottom w:val="none" w:sz="0" w:space="0" w:color="auto"/>
        <w:right w:val="none" w:sz="0" w:space="0" w:color="auto"/>
      </w:divBdr>
    </w:div>
    <w:div w:id="734812572">
      <w:bodyDiv w:val="1"/>
      <w:marLeft w:val="0"/>
      <w:marRight w:val="0"/>
      <w:marTop w:val="0"/>
      <w:marBottom w:val="0"/>
      <w:divBdr>
        <w:top w:val="none" w:sz="0" w:space="0" w:color="auto"/>
        <w:left w:val="none" w:sz="0" w:space="0" w:color="auto"/>
        <w:bottom w:val="none" w:sz="0" w:space="0" w:color="auto"/>
        <w:right w:val="none" w:sz="0" w:space="0" w:color="auto"/>
      </w:divBdr>
      <w:divsChild>
        <w:div w:id="1390111432">
          <w:marLeft w:val="0"/>
          <w:marRight w:val="0"/>
          <w:marTop w:val="0"/>
          <w:marBottom w:val="0"/>
          <w:divBdr>
            <w:top w:val="none" w:sz="0" w:space="0" w:color="auto"/>
            <w:left w:val="none" w:sz="0" w:space="0" w:color="auto"/>
            <w:bottom w:val="none" w:sz="0" w:space="0" w:color="auto"/>
            <w:right w:val="none" w:sz="0" w:space="0" w:color="auto"/>
          </w:divBdr>
          <w:divsChild>
            <w:div w:id="1885748220">
              <w:marLeft w:val="0"/>
              <w:marRight w:val="0"/>
              <w:marTop w:val="0"/>
              <w:marBottom w:val="0"/>
              <w:divBdr>
                <w:top w:val="none" w:sz="0" w:space="0" w:color="auto"/>
                <w:left w:val="none" w:sz="0" w:space="0" w:color="auto"/>
                <w:bottom w:val="none" w:sz="0" w:space="0" w:color="auto"/>
                <w:right w:val="none" w:sz="0" w:space="0" w:color="auto"/>
              </w:divBdr>
              <w:divsChild>
                <w:div w:id="20060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3486">
      <w:bodyDiv w:val="1"/>
      <w:marLeft w:val="0"/>
      <w:marRight w:val="0"/>
      <w:marTop w:val="0"/>
      <w:marBottom w:val="0"/>
      <w:divBdr>
        <w:top w:val="none" w:sz="0" w:space="0" w:color="auto"/>
        <w:left w:val="none" w:sz="0" w:space="0" w:color="auto"/>
        <w:bottom w:val="none" w:sz="0" w:space="0" w:color="auto"/>
        <w:right w:val="none" w:sz="0" w:space="0" w:color="auto"/>
      </w:divBdr>
    </w:div>
    <w:div w:id="990596497">
      <w:bodyDiv w:val="1"/>
      <w:marLeft w:val="0"/>
      <w:marRight w:val="0"/>
      <w:marTop w:val="0"/>
      <w:marBottom w:val="0"/>
      <w:divBdr>
        <w:top w:val="none" w:sz="0" w:space="0" w:color="auto"/>
        <w:left w:val="none" w:sz="0" w:space="0" w:color="auto"/>
        <w:bottom w:val="none" w:sz="0" w:space="0" w:color="auto"/>
        <w:right w:val="none" w:sz="0" w:space="0" w:color="auto"/>
      </w:divBdr>
    </w:div>
    <w:div w:id="1171679898">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sChild>
        <w:div w:id="1055852516">
          <w:marLeft w:val="0"/>
          <w:marRight w:val="0"/>
          <w:marTop w:val="0"/>
          <w:marBottom w:val="0"/>
          <w:divBdr>
            <w:top w:val="none" w:sz="0" w:space="0" w:color="auto"/>
            <w:left w:val="none" w:sz="0" w:space="0" w:color="auto"/>
            <w:bottom w:val="none" w:sz="0" w:space="0" w:color="auto"/>
            <w:right w:val="none" w:sz="0" w:space="0" w:color="auto"/>
          </w:divBdr>
          <w:divsChild>
            <w:div w:id="2365066">
              <w:marLeft w:val="0"/>
              <w:marRight w:val="0"/>
              <w:marTop w:val="0"/>
              <w:marBottom w:val="0"/>
              <w:divBdr>
                <w:top w:val="none" w:sz="0" w:space="0" w:color="auto"/>
                <w:left w:val="none" w:sz="0" w:space="0" w:color="auto"/>
                <w:bottom w:val="none" w:sz="0" w:space="0" w:color="auto"/>
                <w:right w:val="none" w:sz="0" w:space="0" w:color="auto"/>
              </w:divBdr>
              <w:divsChild>
                <w:div w:id="33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2487">
      <w:bodyDiv w:val="1"/>
      <w:marLeft w:val="0"/>
      <w:marRight w:val="0"/>
      <w:marTop w:val="0"/>
      <w:marBottom w:val="0"/>
      <w:divBdr>
        <w:top w:val="none" w:sz="0" w:space="0" w:color="auto"/>
        <w:left w:val="none" w:sz="0" w:space="0" w:color="auto"/>
        <w:bottom w:val="none" w:sz="0" w:space="0" w:color="auto"/>
        <w:right w:val="none" w:sz="0" w:space="0" w:color="auto"/>
      </w:divBdr>
    </w:div>
    <w:div w:id="1421758277">
      <w:bodyDiv w:val="1"/>
      <w:marLeft w:val="0"/>
      <w:marRight w:val="0"/>
      <w:marTop w:val="0"/>
      <w:marBottom w:val="0"/>
      <w:divBdr>
        <w:top w:val="none" w:sz="0" w:space="0" w:color="auto"/>
        <w:left w:val="none" w:sz="0" w:space="0" w:color="auto"/>
        <w:bottom w:val="none" w:sz="0" w:space="0" w:color="auto"/>
        <w:right w:val="none" w:sz="0" w:space="0" w:color="auto"/>
      </w:divBdr>
    </w:div>
    <w:div w:id="1673029503">
      <w:bodyDiv w:val="1"/>
      <w:marLeft w:val="0"/>
      <w:marRight w:val="0"/>
      <w:marTop w:val="0"/>
      <w:marBottom w:val="0"/>
      <w:divBdr>
        <w:top w:val="none" w:sz="0" w:space="0" w:color="auto"/>
        <w:left w:val="none" w:sz="0" w:space="0" w:color="auto"/>
        <w:bottom w:val="none" w:sz="0" w:space="0" w:color="auto"/>
        <w:right w:val="none" w:sz="0" w:space="0" w:color="auto"/>
      </w:divBdr>
    </w:div>
    <w:div w:id="1903173898">
      <w:bodyDiv w:val="1"/>
      <w:marLeft w:val="0"/>
      <w:marRight w:val="0"/>
      <w:marTop w:val="0"/>
      <w:marBottom w:val="0"/>
      <w:divBdr>
        <w:top w:val="none" w:sz="0" w:space="0" w:color="auto"/>
        <w:left w:val="none" w:sz="0" w:space="0" w:color="auto"/>
        <w:bottom w:val="none" w:sz="0" w:space="0" w:color="auto"/>
        <w:right w:val="none" w:sz="0" w:space="0" w:color="auto"/>
      </w:divBdr>
    </w:div>
    <w:div w:id="2020229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52F7A-B3DD-4D3D-BE92-E3A14B99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50</Pages>
  <Words>12287</Words>
  <Characters>67581</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CORTE SUPREMA DE JUSTICIA</vt:lpstr>
    </vt:vector>
  </TitlesOfParts>
  <Manager/>
  <Company>CONSEJO SUPERIOR DE LA JUDICATURA</Company>
  <LinksUpToDate>false</LinksUpToDate>
  <CharactersWithSpaces>79709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Diego A Herrera</dc:creator>
  <cp:keywords/>
  <dc:description/>
  <cp:lastModifiedBy>Lizeth Eliana Castillo Ching</cp:lastModifiedBy>
  <cp:revision>10</cp:revision>
  <cp:lastPrinted>2021-06-05T00:06:00Z</cp:lastPrinted>
  <dcterms:created xsi:type="dcterms:W3CDTF">2023-05-15T14:13:00Z</dcterms:created>
  <dcterms:modified xsi:type="dcterms:W3CDTF">2023-05-15T18:44:00Z</dcterms:modified>
  <cp:category/>
</cp:coreProperties>
</file>