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66756" w14:textId="69CA0A77" w:rsidR="000465E4" w:rsidRDefault="042C6E41" w:rsidP="042C6E41">
      <w:pPr>
        <w:jc w:val="both"/>
        <w:rPr>
          <w:rFonts w:ascii="Arial" w:hAnsi="Arial" w:cs="Arial"/>
        </w:rPr>
      </w:pPr>
      <w:r w:rsidRPr="042C6E41">
        <w:rPr>
          <w:rFonts w:ascii="Arial" w:hAnsi="Arial" w:cs="Arial"/>
        </w:rPr>
        <w:t>100158335-0418</w:t>
      </w:r>
    </w:p>
    <w:p w14:paraId="02ACA32F" w14:textId="125F9075" w:rsidR="000465E4" w:rsidRDefault="000465E4" w:rsidP="042C6E41">
      <w:pPr>
        <w:jc w:val="both"/>
        <w:rPr>
          <w:rFonts w:ascii="Arial" w:hAnsi="Arial" w:cs="Arial"/>
        </w:rPr>
      </w:pPr>
    </w:p>
    <w:p w14:paraId="0189225F" w14:textId="46622421" w:rsidR="000465E4" w:rsidRDefault="042C6E41" w:rsidP="000465E4">
      <w:pPr>
        <w:jc w:val="both"/>
        <w:rPr>
          <w:rFonts w:ascii="Arial" w:hAnsi="Arial" w:cs="Arial"/>
        </w:rPr>
      </w:pPr>
      <w:r w:rsidRPr="042C6E41">
        <w:rPr>
          <w:rFonts w:ascii="Arial" w:hAnsi="Arial" w:cs="Arial"/>
        </w:rPr>
        <w:t>Bogotá, D.C., enero 19 de 2022</w:t>
      </w:r>
    </w:p>
    <w:p w14:paraId="672A6659" w14:textId="77777777" w:rsidR="000465E4" w:rsidRDefault="000465E4" w:rsidP="000465E4">
      <w:pPr>
        <w:rPr>
          <w:rFonts w:ascii="Arial" w:hAnsi="Arial" w:cs="Arial"/>
        </w:rPr>
      </w:pPr>
    </w:p>
    <w:p w14:paraId="0A37501D" w14:textId="77777777" w:rsidR="00431AEB" w:rsidRDefault="00431AEB" w:rsidP="000465E4">
      <w:pPr>
        <w:pStyle w:val="xmsonormal"/>
        <w:rPr>
          <w:rFonts w:ascii="Arial" w:hAnsi="Arial" w:cs="Arial"/>
        </w:rPr>
      </w:pPr>
    </w:p>
    <w:p w14:paraId="00B2C7EB" w14:textId="77777777" w:rsidR="000465E4" w:rsidRPr="003F02EB" w:rsidRDefault="00431AEB" w:rsidP="000465E4">
      <w:pPr>
        <w:pStyle w:val="xmsonormal"/>
        <w:rPr>
          <w:rFonts w:ascii="Arial" w:hAnsi="Arial" w:cs="Arial"/>
        </w:rPr>
      </w:pPr>
      <w:r>
        <w:rPr>
          <w:rFonts w:ascii="Arial" w:hAnsi="Arial" w:cs="Arial"/>
        </w:rPr>
        <w:t>Doctor</w:t>
      </w:r>
      <w:r w:rsidR="000465E4" w:rsidRPr="003F02EB">
        <w:rPr>
          <w:rFonts w:ascii="Arial" w:hAnsi="Arial" w:cs="Arial"/>
        </w:rPr>
        <w:t>:</w:t>
      </w:r>
    </w:p>
    <w:p w14:paraId="0C293B64" w14:textId="77777777" w:rsidR="00431AEB" w:rsidRPr="00FB4CA8" w:rsidRDefault="002C04ED" w:rsidP="00431AEB">
      <w:pPr>
        <w:pStyle w:val="NormalWeb"/>
        <w:spacing w:before="0" w:beforeAutospacing="0" w:after="0" w:afterAutospacing="0" w:line="270" w:lineRule="atLeast"/>
        <w:ind w:right="900"/>
        <w:jc w:val="both"/>
        <w:rPr>
          <w:rFonts w:ascii="Arial" w:hAnsi="Arial" w:cs="Arial"/>
          <w:b/>
          <w:bCs/>
        </w:rPr>
      </w:pPr>
      <w:r>
        <w:rPr>
          <w:rFonts w:ascii="Arial" w:hAnsi="Arial" w:cs="Arial"/>
          <w:b/>
          <w:bCs/>
        </w:rPr>
        <w:t>JOSE EFREN GONZALEZ CEPEDA</w:t>
      </w:r>
    </w:p>
    <w:p w14:paraId="4BE07634" w14:textId="77777777" w:rsidR="00431AEB" w:rsidRDefault="002C04ED" w:rsidP="00431AEB">
      <w:pPr>
        <w:pStyle w:val="NormalWeb"/>
        <w:spacing w:before="0" w:beforeAutospacing="0" w:after="0" w:afterAutospacing="0" w:line="270" w:lineRule="atLeast"/>
        <w:ind w:right="900"/>
        <w:jc w:val="both"/>
        <w:rPr>
          <w:rFonts w:ascii="Arial" w:hAnsi="Arial" w:cs="Arial"/>
        </w:rPr>
      </w:pPr>
      <w:r>
        <w:rPr>
          <w:rFonts w:ascii="Arial" w:hAnsi="Arial" w:cs="Arial"/>
        </w:rPr>
        <w:t>Jefe División de</w:t>
      </w:r>
      <w:r w:rsidR="00431AEB">
        <w:rPr>
          <w:rFonts w:ascii="Arial" w:hAnsi="Arial" w:cs="Arial"/>
        </w:rPr>
        <w:t xml:space="preserve"> Cobranzas</w:t>
      </w:r>
    </w:p>
    <w:p w14:paraId="28BC6E21" w14:textId="77777777" w:rsidR="00431AEB" w:rsidRDefault="00431AEB" w:rsidP="00431AEB">
      <w:pPr>
        <w:pStyle w:val="NormalWeb"/>
        <w:spacing w:before="0" w:beforeAutospacing="0" w:after="0" w:afterAutospacing="0" w:line="270" w:lineRule="atLeast"/>
        <w:ind w:right="900"/>
        <w:jc w:val="both"/>
        <w:rPr>
          <w:rFonts w:ascii="Arial" w:hAnsi="Arial" w:cs="Arial"/>
        </w:rPr>
      </w:pPr>
      <w:r>
        <w:rPr>
          <w:rFonts w:ascii="Arial" w:hAnsi="Arial" w:cs="Arial"/>
        </w:rPr>
        <w:t xml:space="preserve">Dirección </w:t>
      </w:r>
      <w:r w:rsidR="002C04ED">
        <w:rPr>
          <w:rFonts w:ascii="Arial" w:hAnsi="Arial" w:cs="Arial"/>
        </w:rPr>
        <w:t xml:space="preserve">Seccional </w:t>
      </w:r>
      <w:r>
        <w:rPr>
          <w:rFonts w:ascii="Arial" w:hAnsi="Arial" w:cs="Arial"/>
        </w:rPr>
        <w:t>de Impuestos</w:t>
      </w:r>
      <w:r w:rsidR="002C04ED">
        <w:rPr>
          <w:rFonts w:ascii="Arial" w:hAnsi="Arial" w:cs="Arial"/>
        </w:rPr>
        <w:t xml:space="preserve"> de Bogotá</w:t>
      </w:r>
    </w:p>
    <w:p w14:paraId="15F97714" w14:textId="77777777" w:rsidR="00431AEB" w:rsidRDefault="00431AEB" w:rsidP="00431AEB">
      <w:pPr>
        <w:pStyle w:val="NormalWeb"/>
        <w:spacing w:before="0" w:beforeAutospacing="0" w:after="0" w:afterAutospacing="0" w:line="270" w:lineRule="atLeast"/>
        <w:ind w:right="900"/>
        <w:jc w:val="both"/>
        <w:rPr>
          <w:rFonts w:ascii="Arial" w:hAnsi="Arial" w:cs="Arial"/>
        </w:rPr>
      </w:pPr>
      <w:r>
        <w:rPr>
          <w:rFonts w:ascii="Arial" w:hAnsi="Arial" w:cs="Arial"/>
        </w:rPr>
        <w:t>UAE-DIAN</w:t>
      </w:r>
    </w:p>
    <w:p w14:paraId="5DAB6C7B" w14:textId="77777777" w:rsidR="000465E4" w:rsidRDefault="000465E4" w:rsidP="000465E4">
      <w:pPr>
        <w:jc w:val="both"/>
        <w:rPr>
          <w:rFonts w:ascii="Arial" w:hAnsi="Arial" w:cs="Arial"/>
          <w:b/>
        </w:rPr>
      </w:pPr>
    </w:p>
    <w:p w14:paraId="02EB378F" w14:textId="77777777" w:rsidR="003F02EB" w:rsidRDefault="003F02EB" w:rsidP="000465E4">
      <w:pPr>
        <w:jc w:val="both"/>
        <w:rPr>
          <w:rFonts w:ascii="Arial" w:hAnsi="Arial" w:cs="Arial"/>
          <w:b/>
        </w:rPr>
      </w:pPr>
    </w:p>
    <w:p w14:paraId="6A05A809" w14:textId="77777777" w:rsidR="00431AEB" w:rsidRDefault="00431AEB" w:rsidP="000465E4">
      <w:pPr>
        <w:jc w:val="both"/>
        <w:rPr>
          <w:rFonts w:ascii="Arial" w:hAnsi="Arial" w:cs="Arial"/>
          <w:b/>
        </w:rPr>
      </w:pPr>
    </w:p>
    <w:p w14:paraId="5C93C32E" w14:textId="77777777" w:rsidR="000465E4" w:rsidRDefault="000465E4" w:rsidP="000465E4">
      <w:pPr>
        <w:jc w:val="both"/>
        <w:rPr>
          <w:rFonts w:ascii="Arial" w:hAnsi="Arial" w:cs="Arial"/>
        </w:rPr>
      </w:pPr>
      <w:r>
        <w:rPr>
          <w:rFonts w:ascii="Arial" w:hAnsi="Arial" w:cs="Arial"/>
          <w:b/>
        </w:rPr>
        <w:t>Asunto:</w:t>
      </w:r>
      <w:r>
        <w:rPr>
          <w:rFonts w:ascii="Arial" w:hAnsi="Arial" w:cs="Arial"/>
        </w:rPr>
        <w:t xml:space="preserve"> </w:t>
      </w:r>
      <w:r w:rsidR="002C04ED">
        <w:rPr>
          <w:rFonts w:ascii="Arial" w:hAnsi="Arial" w:cs="Arial"/>
        </w:rPr>
        <w:t>Su solicitud relacionada con el fallo de la Secc. Cuarta del Honorable Consejo de Estado, Sala de lo Contencioso Administrativo, radicado 25104 del 9 de septiembre de 2021</w:t>
      </w:r>
      <w:r w:rsidR="00431AEB">
        <w:rPr>
          <w:rFonts w:ascii="Arial" w:hAnsi="Arial" w:cs="Arial"/>
        </w:rPr>
        <w:t>.</w:t>
      </w:r>
    </w:p>
    <w:p w14:paraId="5A39BBE3" w14:textId="77777777" w:rsidR="00431AEB" w:rsidRDefault="00431AEB" w:rsidP="000465E4">
      <w:pPr>
        <w:jc w:val="both"/>
        <w:rPr>
          <w:rFonts w:ascii="Arial" w:hAnsi="Arial" w:cs="Arial"/>
        </w:rPr>
      </w:pPr>
    </w:p>
    <w:p w14:paraId="41C8F396" w14:textId="77777777" w:rsidR="00431AEB" w:rsidRDefault="00431AEB" w:rsidP="000465E4">
      <w:pPr>
        <w:jc w:val="both"/>
        <w:rPr>
          <w:rFonts w:ascii="Arial" w:hAnsi="Arial" w:cs="Arial"/>
        </w:rPr>
      </w:pPr>
    </w:p>
    <w:p w14:paraId="710CBCFE" w14:textId="77777777" w:rsidR="00092FF7" w:rsidRDefault="00F738E3" w:rsidP="00F738E3">
      <w:pPr>
        <w:jc w:val="both"/>
        <w:rPr>
          <w:rFonts w:ascii="Arial" w:hAnsi="Arial" w:cs="Arial"/>
        </w:rPr>
      </w:pPr>
      <w:r>
        <w:rPr>
          <w:rFonts w:ascii="Arial" w:hAnsi="Arial" w:cs="Arial"/>
        </w:rPr>
        <w:t>Mediante mensaje electrónico</w:t>
      </w:r>
      <w:r w:rsidR="00092FF7">
        <w:rPr>
          <w:rFonts w:ascii="Arial" w:hAnsi="Arial" w:cs="Arial"/>
        </w:rPr>
        <w:t xml:space="preserve"> proveniente de la Dirección Seccional de Impuestos de Bogotá, que se remitió en los siguientes términos: </w:t>
      </w:r>
      <w:r>
        <w:rPr>
          <w:rFonts w:ascii="Arial" w:hAnsi="Arial" w:cs="Arial"/>
        </w:rPr>
        <w:t xml:space="preserve"> </w:t>
      </w:r>
    </w:p>
    <w:p w14:paraId="72A3D3EC" w14:textId="77777777" w:rsidR="00092FF7" w:rsidRDefault="00092FF7" w:rsidP="00F738E3">
      <w:pPr>
        <w:jc w:val="both"/>
        <w:rPr>
          <w:rFonts w:ascii="Arial" w:hAnsi="Arial" w:cs="Arial"/>
        </w:rPr>
      </w:pPr>
    </w:p>
    <w:p w14:paraId="78C289BF" w14:textId="77777777" w:rsidR="00092FF7" w:rsidRPr="00092FF7" w:rsidRDefault="00092FF7" w:rsidP="00092FF7">
      <w:pPr>
        <w:ind w:left="851" w:right="900"/>
        <w:outlineLvl w:val="0"/>
        <w:rPr>
          <w:sz w:val="18"/>
          <w:szCs w:val="18"/>
          <w:lang w:val="es-ES"/>
        </w:rPr>
      </w:pPr>
      <w:r w:rsidRPr="00092FF7">
        <w:rPr>
          <w:b/>
          <w:bCs/>
          <w:sz w:val="18"/>
          <w:szCs w:val="18"/>
          <w:lang w:val="es-ES"/>
        </w:rPr>
        <w:t>“De:</w:t>
      </w:r>
      <w:r w:rsidRPr="00092FF7">
        <w:rPr>
          <w:sz w:val="18"/>
          <w:szCs w:val="18"/>
          <w:lang w:val="es-ES"/>
        </w:rPr>
        <w:t xml:space="preserve"> Jose Efren Gonzalez Cepeda &lt;</w:t>
      </w:r>
      <w:hyperlink r:id="rId10" w:history="1">
        <w:r w:rsidRPr="00092FF7">
          <w:rPr>
            <w:rStyle w:val="Hipervnculo"/>
            <w:sz w:val="18"/>
            <w:szCs w:val="18"/>
            <w:lang w:val="es-ES"/>
          </w:rPr>
          <w:t>jgonzalezc2@dian.gov.co</w:t>
        </w:r>
      </w:hyperlink>
      <w:r w:rsidRPr="00092FF7">
        <w:rPr>
          <w:sz w:val="18"/>
          <w:szCs w:val="18"/>
          <w:lang w:val="es-ES"/>
        </w:rPr>
        <w:t xml:space="preserve">&gt; </w:t>
      </w:r>
      <w:r w:rsidRPr="00092FF7">
        <w:rPr>
          <w:sz w:val="18"/>
          <w:szCs w:val="18"/>
          <w:lang w:val="es-ES"/>
        </w:rPr>
        <w:br/>
      </w:r>
      <w:r w:rsidRPr="00092FF7">
        <w:rPr>
          <w:b/>
          <w:bCs/>
          <w:sz w:val="18"/>
          <w:szCs w:val="18"/>
          <w:lang w:val="es-ES"/>
        </w:rPr>
        <w:t>Enviado el:</w:t>
      </w:r>
      <w:r w:rsidRPr="00092FF7">
        <w:rPr>
          <w:sz w:val="18"/>
          <w:szCs w:val="18"/>
          <w:lang w:val="es-ES"/>
        </w:rPr>
        <w:t xml:space="preserve"> martes, 23 de noviembre de 2021 3:29 p. m.</w:t>
      </w:r>
      <w:r w:rsidRPr="00092FF7">
        <w:rPr>
          <w:sz w:val="18"/>
          <w:szCs w:val="18"/>
          <w:lang w:val="es-ES"/>
        </w:rPr>
        <w:br/>
      </w:r>
      <w:r w:rsidRPr="00092FF7">
        <w:rPr>
          <w:b/>
          <w:bCs/>
          <w:sz w:val="18"/>
          <w:szCs w:val="18"/>
          <w:lang w:val="es-ES"/>
        </w:rPr>
        <w:t>Para:</w:t>
      </w:r>
      <w:r w:rsidRPr="00092FF7">
        <w:rPr>
          <w:sz w:val="18"/>
          <w:szCs w:val="18"/>
          <w:lang w:val="es-ES"/>
        </w:rPr>
        <w:t xml:space="preserve"> Jairo Gomez Ramirez &lt;</w:t>
      </w:r>
      <w:hyperlink r:id="rId11" w:history="1">
        <w:r w:rsidRPr="00092FF7">
          <w:rPr>
            <w:rStyle w:val="Hipervnculo"/>
            <w:sz w:val="18"/>
            <w:szCs w:val="18"/>
            <w:lang w:val="es-ES"/>
          </w:rPr>
          <w:t>jgomezr@dian.gov.co</w:t>
        </w:r>
      </w:hyperlink>
      <w:r w:rsidRPr="00092FF7">
        <w:rPr>
          <w:sz w:val="18"/>
          <w:szCs w:val="18"/>
          <w:lang w:val="es-ES"/>
        </w:rPr>
        <w:t>&gt;</w:t>
      </w:r>
      <w:r w:rsidRPr="00092FF7">
        <w:rPr>
          <w:sz w:val="18"/>
          <w:szCs w:val="18"/>
          <w:lang w:val="es-ES"/>
        </w:rPr>
        <w:br/>
      </w:r>
      <w:r w:rsidRPr="00092FF7">
        <w:rPr>
          <w:b/>
          <w:bCs/>
          <w:sz w:val="18"/>
          <w:szCs w:val="18"/>
          <w:lang w:val="es-ES"/>
        </w:rPr>
        <w:t>CC:</w:t>
      </w:r>
      <w:r w:rsidRPr="00092FF7">
        <w:rPr>
          <w:sz w:val="18"/>
          <w:szCs w:val="18"/>
          <w:lang w:val="es-ES"/>
        </w:rPr>
        <w:t xml:space="preserve"> Marisol Restrepo Rojas &lt;</w:t>
      </w:r>
      <w:hyperlink r:id="rId12" w:history="1">
        <w:r w:rsidRPr="00092FF7">
          <w:rPr>
            <w:rStyle w:val="Hipervnculo"/>
            <w:sz w:val="18"/>
            <w:szCs w:val="18"/>
            <w:lang w:val="es-ES"/>
          </w:rPr>
          <w:t>mrestrepor2@dian.gov.co</w:t>
        </w:r>
      </w:hyperlink>
      <w:r w:rsidRPr="00092FF7">
        <w:rPr>
          <w:sz w:val="18"/>
          <w:szCs w:val="18"/>
          <w:lang w:val="es-ES"/>
        </w:rPr>
        <w:t>&gt;; Yeny Lorena Herrera Sastoque &lt;</w:t>
      </w:r>
      <w:hyperlink r:id="rId13" w:history="1">
        <w:r w:rsidRPr="00092FF7">
          <w:rPr>
            <w:rStyle w:val="Hipervnculo"/>
            <w:sz w:val="18"/>
            <w:szCs w:val="18"/>
            <w:lang w:val="es-ES"/>
          </w:rPr>
          <w:t>yherreras@dian.gov.co</w:t>
        </w:r>
      </w:hyperlink>
      <w:r w:rsidRPr="00092FF7">
        <w:rPr>
          <w:sz w:val="18"/>
          <w:szCs w:val="18"/>
          <w:lang w:val="es-ES"/>
        </w:rPr>
        <w:t>&gt;</w:t>
      </w:r>
      <w:r w:rsidRPr="00092FF7">
        <w:rPr>
          <w:sz w:val="18"/>
          <w:szCs w:val="18"/>
          <w:lang w:val="es-ES"/>
        </w:rPr>
        <w:br/>
      </w:r>
      <w:r w:rsidRPr="00092FF7">
        <w:rPr>
          <w:b/>
          <w:bCs/>
          <w:sz w:val="18"/>
          <w:szCs w:val="18"/>
          <w:lang w:val="es-ES"/>
        </w:rPr>
        <w:t>Asunto:</w:t>
      </w:r>
      <w:r w:rsidRPr="00092FF7">
        <w:rPr>
          <w:sz w:val="18"/>
          <w:szCs w:val="18"/>
          <w:lang w:val="es-ES"/>
        </w:rPr>
        <w:t xml:space="preserve"> RV: NOTIFICACIÓN ELECTRÓNICA SENTENCIA EJECUTORIA - RV: PROCESO 25104</w:t>
      </w:r>
    </w:p>
    <w:p w14:paraId="0D0B940D" w14:textId="77777777" w:rsidR="00092FF7" w:rsidRPr="00092FF7" w:rsidRDefault="00092FF7" w:rsidP="00092FF7">
      <w:pPr>
        <w:ind w:left="851" w:right="900"/>
        <w:rPr>
          <w:sz w:val="18"/>
          <w:szCs w:val="18"/>
          <w:lang w:val="es-ES"/>
        </w:rPr>
      </w:pPr>
    </w:p>
    <w:p w14:paraId="0E27B00A" w14:textId="77777777" w:rsidR="00092FF7" w:rsidRPr="00092FF7" w:rsidRDefault="00092FF7" w:rsidP="00092FF7">
      <w:pPr>
        <w:ind w:left="851" w:right="900"/>
        <w:rPr>
          <w:sz w:val="18"/>
          <w:szCs w:val="18"/>
          <w:lang w:eastAsia="en-US"/>
        </w:rPr>
      </w:pPr>
    </w:p>
    <w:p w14:paraId="68E345CC" w14:textId="77777777" w:rsidR="00092FF7" w:rsidRPr="00092FF7" w:rsidRDefault="00092FF7" w:rsidP="00092FF7">
      <w:pPr>
        <w:ind w:left="851" w:right="900"/>
        <w:rPr>
          <w:rFonts w:ascii="Arial" w:hAnsi="Arial" w:cs="Arial"/>
          <w:color w:val="4472C4"/>
          <w:sz w:val="18"/>
          <w:szCs w:val="18"/>
        </w:rPr>
      </w:pPr>
      <w:r w:rsidRPr="00092FF7">
        <w:rPr>
          <w:rFonts w:ascii="Arial" w:hAnsi="Arial" w:cs="Arial"/>
          <w:color w:val="4472C4"/>
          <w:sz w:val="18"/>
          <w:szCs w:val="18"/>
        </w:rPr>
        <w:t>Cordial saludo Dr. Jairo,</w:t>
      </w:r>
    </w:p>
    <w:p w14:paraId="60061E4C" w14:textId="77777777" w:rsidR="00092FF7" w:rsidRPr="00092FF7" w:rsidRDefault="00092FF7" w:rsidP="00092FF7">
      <w:pPr>
        <w:ind w:left="851" w:right="900"/>
        <w:rPr>
          <w:rFonts w:ascii="Arial" w:hAnsi="Arial" w:cs="Arial"/>
          <w:color w:val="4472C4"/>
          <w:sz w:val="18"/>
          <w:szCs w:val="18"/>
        </w:rPr>
      </w:pPr>
    </w:p>
    <w:p w14:paraId="371DA191" w14:textId="77777777" w:rsidR="00092FF7" w:rsidRPr="00092FF7" w:rsidRDefault="00092FF7" w:rsidP="00092FF7">
      <w:pPr>
        <w:autoSpaceDE w:val="0"/>
        <w:autoSpaceDN w:val="0"/>
        <w:ind w:left="851" w:right="900"/>
        <w:jc w:val="both"/>
        <w:rPr>
          <w:rFonts w:ascii="Arial" w:hAnsi="Arial" w:cs="Arial"/>
          <w:color w:val="4472C4"/>
          <w:sz w:val="18"/>
          <w:szCs w:val="18"/>
        </w:rPr>
      </w:pPr>
      <w:r w:rsidRPr="00092FF7">
        <w:rPr>
          <w:rFonts w:ascii="Arial" w:hAnsi="Arial" w:cs="Arial"/>
          <w:color w:val="4472C4"/>
          <w:sz w:val="18"/>
          <w:szCs w:val="18"/>
        </w:rPr>
        <w:t>De manera atenta solicitamos su orientación en relación con lo señalado en la sentencia adjunta, respecto a si la causal de interrupción del término de prescripción contemplado en el artículo 824 numeral número 4, en relación con la demandas interpuestas contra los títulos ejecutivos aduanero, no es aplicable, y si entonces en esos casos cuando se resuelvan los recursos interpuestos en sede administrativa ya quedaría ejecutoriados.</w:t>
      </w:r>
    </w:p>
    <w:p w14:paraId="44EAFD9C" w14:textId="77777777" w:rsidR="00092FF7" w:rsidRPr="00092FF7" w:rsidRDefault="00092FF7" w:rsidP="00092FF7">
      <w:pPr>
        <w:autoSpaceDE w:val="0"/>
        <w:autoSpaceDN w:val="0"/>
        <w:ind w:left="851" w:right="900"/>
        <w:rPr>
          <w:rFonts w:ascii="Arial" w:hAnsi="Arial" w:cs="Arial"/>
          <w:color w:val="4472C4"/>
          <w:sz w:val="18"/>
          <w:szCs w:val="18"/>
        </w:rPr>
      </w:pPr>
    </w:p>
    <w:p w14:paraId="5AE69277" w14:textId="77777777" w:rsidR="00092FF7" w:rsidRPr="00092FF7" w:rsidRDefault="00092FF7" w:rsidP="00092FF7">
      <w:pPr>
        <w:ind w:left="851" w:right="900"/>
        <w:rPr>
          <w:rFonts w:ascii="Arial" w:hAnsi="Arial" w:cs="Arial"/>
          <w:color w:val="4472C4"/>
          <w:sz w:val="18"/>
          <w:szCs w:val="18"/>
        </w:rPr>
      </w:pPr>
      <w:r w:rsidRPr="00092FF7">
        <w:rPr>
          <w:rFonts w:ascii="Arial" w:hAnsi="Arial" w:cs="Arial"/>
          <w:color w:val="4472C4"/>
          <w:sz w:val="18"/>
          <w:szCs w:val="18"/>
        </w:rPr>
        <w:t>Muchas gracias.</w:t>
      </w:r>
    </w:p>
    <w:p w14:paraId="4B94D5A5" w14:textId="77777777" w:rsidR="00092FF7" w:rsidRPr="00092FF7" w:rsidRDefault="00092FF7" w:rsidP="00092FF7">
      <w:pPr>
        <w:ind w:left="851" w:right="900"/>
        <w:rPr>
          <w:rFonts w:ascii="Calibri" w:hAnsi="Calibri" w:cs="Calibri"/>
          <w:color w:val="993366"/>
          <w:sz w:val="18"/>
          <w:szCs w:val="18"/>
          <w:lang w:eastAsia="en-US"/>
        </w:rPr>
      </w:pPr>
    </w:p>
    <w:p w14:paraId="6E7BEAA2" w14:textId="77777777" w:rsidR="00092FF7" w:rsidRPr="00092FF7" w:rsidRDefault="00092FF7" w:rsidP="00092FF7">
      <w:pPr>
        <w:ind w:left="851" w:right="900"/>
        <w:rPr>
          <w:color w:val="993366"/>
          <w:sz w:val="18"/>
          <w:szCs w:val="18"/>
        </w:rPr>
      </w:pPr>
      <w:r w:rsidRPr="00092FF7">
        <w:rPr>
          <w:rFonts w:ascii="Monotype Corsiva" w:hAnsi="Monotype Corsiva"/>
          <w:b/>
          <w:bCs/>
          <w:color w:val="000000"/>
          <w:sz w:val="18"/>
          <w:szCs w:val="18"/>
        </w:rPr>
        <w:t> </w:t>
      </w:r>
    </w:p>
    <w:p w14:paraId="56CD071D" w14:textId="77777777" w:rsidR="00092FF7" w:rsidRPr="00092FF7" w:rsidRDefault="00092FF7" w:rsidP="00092FF7">
      <w:pPr>
        <w:ind w:left="851" w:right="900"/>
        <w:rPr>
          <w:rFonts w:ascii="Arial" w:hAnsi="Arial" w:cs="Arial"/>
          <w:color w:val="005A9F"/>
          <w:sz w:val="18"/>
          <w:szCs w:val="18"/>
        </w:rPr>
      </w:pPr>
      <w:r w:rsidRPr="00092FF7">
        <w:rPr>
          <w:rFonts w:ascii="Arial" w:hAnsi="Arial" w:cs="Arial"/>
          <w:color w:val="005A9F"/>
          <w:sz w:val="18"/>
          <w:szCs w:val="18"/>
        </w:rPr>
        <w:t>JOSÉ EFRÉN GONZÁLEZ CEPEDA</w:t>
      </w:r>
    </w:p>
    <w:p w14:paraId="681FDCD4" w14:textId="77777777" w:rsidR="00092FF7" w:rsidRPr="00092FF7" w:rsidRDefault="00092FF7" w:rsidP="00092FF7">
      <w:pPr>
        <w:ind w:left="851" w:right="900"/>
        <w:rPr>
          <w:rFonts w:ascii="Calibri" w:hAnsi="Calibri" w:cs="Calibri"/>
          <w:color w:val="993366"/>
          <w:sz w:val="18"/>
          <w:szCs w:val="18"/>
        </w:rPr>
      </w:pPr>
      <w:r w:rsidRPr="00092FF7">
        <w:rPr>
          <w:rFonts w:ascii="Arial" w:hAnsi="Arial" w:cs="Arial"/>
          <w:color w:val="005A9F"/>
          <w:sz w:val="18"/>
          <w:szCs w:val="18"/>
        </w:rPr>
        <w:t>Jefe de División de Cobranzas</w:t>
      </w:r>
      <w:r>
        <w:rPr>
          <w:rFonts w:ascii="Arial" w:hAnsi="Arial" w:cs="Arial"/>
          <w:color w:val="005A9F"/>
          <w:sz w:val="18"/>
          <w:szCs w:val="18"/>
        </w:rPr>
        <w:t>”</w:t>
      </w:r>
    </w:p>
    <w:p w14:paraId="3DEEC669" w14:textId="77777777" w:rsidR="00092FF7" w:rsidRDefault="00092FF7" w:rsidP="00F738E3">
      <w:pPr>
        <w:jc w:val="both"/>
        <w:rPr>
          <w:rFonts w:ascii="Arial" w:hAnsi="Arial" w:cs="Arial"/>
        </w:rPr>
      </w:pPr>
    </w:p>
    <w:p w14:paraId="380737B7" w14:textId="77777777" w:rsidR="00092FF7" w:rsidRDefault="00092FF7" w:rsidP="00F738E3">
      <w:pPr>
        <w:jc w:val="both"/>
        <w:rPr>
          <w:rFonts w:ascii="Arial" w:hAnsi="Arial" w:cs="Arial"/>
        </w:rPr>
      </w:pPr>
      <w:r>
        <w:rPr>
          <w:rFonts w:ascii="Arial" w:hAnsi="Arial" w:cs="Arial"/>
        </w:rPr>
        <w:t>Se solicita orientación frente a la aplicación del art. 824 numeral 4 del E.T., en tratándose del ejercicio de la prerrogativa de cobro cuando el título ejecutivo es de carácter aduanero.</w:t>
      </w:r>
    </w:p>
    <w:p w14:paraId="3656B9AB" w14:textId="77777777" w:rsidR="00092FF7" w:rsidRDefault="00092FF7" w:rsidP="00092FF7">
      <w:pPr>
        <w:pStyle w:val="Default"/>
        <w:jc w:val="both"/>
      </w:pPr>
    </w:p>
    <w:p w14:paraId="4B044721" w14:textId="77777777" w:rsidR="00092FF7" w:rsidRPr="00062E44" w:rsidRDefault="00092FF7" w:rsidP="00092FF7">
      <w:pPr>
        <w:pStyle w:val="Default"/>
        <w:jc w:val="both"/>
        <w:rPr>
          <w:lang w:val="es-ES"/>
        </w:rPr>
      </w:pPr>
      <w:r w:rsidRPr="00062E44">
        <w:lastRenderedPageBreak/>
        <w:t xml:space="preserve">Para dar respuesta a las inquietudes de la Seccional, se advierte, que la respuesta aquí contenida, se emite con sujeción a lo señalado en la Resolución 0070 del 09-08-2021 por medio de la cual se crea los Grupos Internos de Trabajo del Nivel Central, artículo 2, numeral 2.4. Subdirección de Cobranzas y Control Extensivo, 2.4.1. Coordinación de Cobranzas, numeral 8, que señala como función de la dependencia la de: </w:t>
      </w:r>
      <w:r w:rsidRPr="00062E44">
        <w:rPr>
          <w:i/>
          <w:iCs/>
        </w:rPr>
        <w:t>“Orientar y efectuar seguimiento a la aplicación de los procedimientos adelantados por las Direcciones Seccionales, de acuerdo con la legislación vigente.”</w:t>
      </w:r>
      <w:r w:rsidRPr="00062E44">
        <w:t>, por lo tanto</w:t>
      </w:r>
      <w:r>
        <w:t>,</w:t>
      </w:r>
      <w:r w:rsidRPr="00062E44">
        <w:t xml:space="preserve"> este</w:t>
      </w:r>
      <w:r w:rsidRPr="00062E44">
        <w:rPr>
          <w:lang w:val="es-ES"/>
        </w:rPr>
        <w:t xml:space="preserve"> oficio se erige como una mera orientación a los funcionarios del área </w:t>
      </w:r>
      <w:r>
        <w:rPr>
          <w:lang w:val="es-ES"/>
        </w:rPr>
        <w:t xml:space="preserve">misional </w:t>
      </w:r>
      <w:r w:rsidRPr="00062E44">
        <w:rPr>
          <w:lang w:val="es-ES"/>
        </w:rPr>
        <w:t>de cobro solicitante.</w:t>
      </w:r>
    </w:p>
    <w:p w14:paraId="45FB0818" w14:textId="77777777" w:rsidR="00C4538C" w:rsidRPr="00B12AB3" w:rsidRDefault="00C4538C" w:rsidP="00C4538C">
      <w:pPr>
        <w:ind w:right="49"/>
        <w:jc w:val="both"/>
        <w:rPr>
          <w:rFonts w:ascii="Arial" w:hAnsi="Arial" w:cs="Arial"/>
          <w:b/>
          <w:bCs/>
          <w:lang w:val="es-ES"/>
        </w:rPr>
      </w:pPr>
    </w:p>
    <w:p w14:paraId="415E9A4D" w14:textId="77777777" w:rsidR="00C4538C" w:rsidRDefault="00C4538C" w:rsidP="00C4538C">
      <w:pPr>
        <w:ind w:right="49"/>
        <w:jc w:val="both"/>
        <w:rPr>
          <w:rFonts w:ascii="Arial" w:hAnsi="Arial" w:cs="Arial"/>
          <w:lang w:val="es-ES"/>
        </w:rPr>
      </w:pPr>
      <w:r>
        <w:rPr>
          <w:rFonts w:ascii="Arial" w:hAnsi="Arial" w:cs="Arial"/>
          <w:lang w:val="es-ES"/>
        </w:rPr>
        <w:t>Consecuente con lo anterior, si la dependencia requiere sobre el tema un pronunciamiento oficial con alcance de concepto jurídico deberá dar estricto cumplimiento a la resolución que regula el trámite, esto es la Número</w:t>
      </w:r>
      <w:r w:rsidR="00B12AB3">
        <w:rPr>
          <w:rFonts w:ascii="Arial" w:hAnsi="Arial" w:cs="Arial"/>
          <w:lang w:val="es-ES"/>
        </w:rPr>
        <w:t xml:space="preserve"> 00091 del 3 de septiembre</w:t>
      </w:r>
      <w:r>
        <w:rPr>
          <w:rFonts w:ascii="Arial" w:hAnsi="Arial" w:cs="Arial"/>
          <w:lang w:val="es-ES"/>
        </w:rPr>
        <w:t xml:space="preserve"> </w:t>
      </w:r>
      <w:r w:rsidR="00B12AB3">
        <w:rPr>
          <w:rFonts w:ascii="Arial" w:hAnsi="Arial" w:cs="Arial"/>
          <w:lang w:val="es-ES"/>
        </w:rPr>
        <w:t>de 2021 artículo 39</w:t>
      </w:r>
      <w:r>
        <w:rPr>
          <w:rFonts w:ascii="Arial" w:hAnsi="Arial" w:cs="Arial"/>
          <w:lang w:val="es-ES"/>
        </w:rPr>
        <w:t>.</w:t>
      </w:r>
    </w:p>
    <w:p w14:paraId="049F31CB" w14:textId="77777777" w:rsidR="00C4538C" w:rsidRDefault="00C4538C" w:rsidP="00C4538C">
      <w:pPr>
        <w:ind w:right="49"/>
        <w:jc w:val="both"/>
        <w:rPr>
          <w:rFonts w:ascii="Arial" w:hAnsi="Arial" w:cs="Arial"/>
          <w:lang w:val="es-ES"/>
        </w:rPr>
      </w:pPr>
    </w:p>
    <w:p w14:paraId="2803E4F5" w14:textId="77777777" w:rsidR="00B12AB3" w:rsidRDefault="00B12AB3" w:rsidP="00C4538C">
      <w:pPr>
        <w:ind w:right="49"/>
        <w:jc w:val="both"/>
        <w:rPr>
          <w:rFonts w:ascii="Arial" w:hAnsi="Arial" w:cs="Arial"/>
          <w:lang w:val="es-ES"/>
        </w:rPr>
      </w:pPr>
      <w:r>
        <w:rPr>
          <w:rFonts w:ascii="Arial" w:hAnsi="Arial" w:cs="Arial"/>
          <w:lang w:val="es-ES"/>
        </w:rPr>
        <w:t>En primer lugar, diremos que la facultad o prerrogativa de cobro otorgada por la ley a la UAE-DIAN tiene como propósito según el mismo estatuto tributario, tiene como propósito, asegurar el cobro de las obligaciones fiscales competencia de la UAE-DIAN, según su art. 823:</w:t>
      </w:r>
    </w:p>
    <w:p w14:paraId="53128261" w14:textId="77777777" w:rsidR="00B12AB3" w:rsidRDefault="00B12AB3" w:rsidP="00C4538C">
      <w:pPr>
        <w:ind w:right="49"/>
        <w:jc w:val="both"/>
        <w:rPr>
          <w:rFonts w:ascii="Arial" w:hAnsi="Arial" w:cs="Arial"/>
          <w:lang w:val="es-ES"/>
        </w:rPr>
      </w:pPr>
    </w:p>
    <w:p w14:paraId="5F821A4B" w14:textId="77777777" w:rsidR="00B12AB3" w:rsidRDefault="00B12AB3" w:rsidP="00B12AB3">
      <w:pPr>
        <w:ind w:left="851" w:right="900"/>
        <w:jc w:val="both"/>
        <w:rPr>
          <w:rFonts w:ascii="Arial" w:hAnsi="Arial" w:cs="Arial"/>
        </w:rPr>
      </w:pPr>
      <w:bookmarkStart w:id="0" w:name="823"/>
      <w:r w:rsidRPr="00B12AB3">
        <w:rPr>
          <w:rFonts w:ascii="Arial" w:hAnsi="Arial" w:cs="Arial"/>
          <w:b/>
          <w:bCs/>
          <w:sz w:val="18"/>
          <w:szCs w:val="18"/>
        </w:rPr>
        <w:t>“ARTICULO 823. PROCEDIMIENTO ADMINISTRATIVO COACTIVO.</w:t>
      </w:r>
      <w:bookmarkEnd w:id="0"/>
      <w:r w:rsidRPr="00B12AB3">
        <w:rPr>
          <w:rFonts w:ascii="Arial" w:hAnsi="Arial" w:cs="Arial"/>
          <w:sz w:val="18"/>
          <w:szCs w:val="18"/>
        </w:rPr>
        <w:t xml:space="preserve"> Para el cobro coactivo de </w:t>
      </w:r>
      <w:r w:rsidRPr="00B12AB3">
        <w:rPr>
          <w:rFonts w:ascii="Arial" w:hAnsi="Arial" w:cs="Arial"/>
          <w:b/>
          <w:bCs/>
          <w:sz w:val="18"/>
          <w:szCs w:val="18"/>
        </w:rPr>
        <w:t>las deudas fiscales por concepto de impuestos, anticipos, retenciones, intereses y sanciones, de competencia de la Dirección General de Impuestos Nacionales</w:t>
      </w:r>
      <w:r w:rsidRPr="00B12AB3">
        <w:rPr>
          <w:rFonts w:ascii="Arial" w:hAnsi="Arial" w:cs="Arial"/>
          <w:vertAlign w:val="superscript"/>
        </w:rPr>
        <w:t>&lt;</w:t>
      </w:r>
      <w:hyperlink r:id="rId14" w:anchor="NP1" w:history="1">
        <w:r w:rsidRPr="00B12AB3">
          <w:rPr>
            <w:rStyle w:val="Hipervnculo"/>
            <w:rFonts w:ascii="Arial" w:hAnsi="Arial" w:cs="Arial"/>
            <w:color w:val="auto"/>
            <w:vertAlign w:val="superscript"/>
          </w:rPr>
          <w:t>1</w:t>
        </w:r>
      </w:hyperlink>
      <w:r w:rsidRPr="00B12AB3">
        <w:rPr>
          <w:rFonts w:ascii="Arial" w:hAnsi="Arial" w:cs="Arial"/>
          <w:vertAlign w:val="superscript"/>
        </w:rPr>
        <w:t>&gt;</w:t>
      </w:r>
      <w:r w:rsidRPr="00B12AB3">
        <w:rPr>
          <w:rFonts w:ascii="Arial" w:hAnsi="Arial" w:cs="Arial"/>
          <w:sz w:val="18"/>
          <w:szCs w:val="18"/>
        </w:rPr>
        <w:t>, deberá seguirse el procedimiento administrativo coactivo que se establece en los artículos siguientes.”</w:t>
      </w:r>
      <w:r>
        <w:rPr>
          <w:rFonts w:ascii="Arial" w:hAnsi="Arial" w:cs="Arial"/>
          <w:sz w:val="18"/>
          <w:szCs w:val="18"/>
        </w:rPr>
        <w:t xml:space="preserve"> </w:t>
      </w:r>
      <w:r w:rsidRPr="00B12AB3">
        <w:rPr>
          <w:rFonts w:ascii="Arial" w:hAnsi="Arial" w:cs="Arial"/>
        </w:rPr>
        <w:t>(negrita fuera de texto)</w:t>
      </w:r>
    </w:p>
    <w:p w14:paraId="62486C05" w14:textId="77777777" w:rsidR="00B12AB3" w:rsidRPr="00B12AB3" w:rsidRDefault="00B12AB3" w:rsidP="00B12AB3">
      <w:pPr>
        <w:ind w:left="851" w:right="900"/>
        <w:jc w:val="both"/>
        <w:rPr>
          <w:rFonts w:ascii="Arial" w:hAnsi="Arial" w:cs="Arial"/>
          <w:lang w:val="es-ES"/>
        </w:rPr>
      </w:pPr>
    </w:p>
    <w:p w14:paraId="29010D26" w14:textId="77777777" w:rsidR="00B12AB3" w:rsidRDefault="00B12AB3" w:rsidP="00C4538C">
      <w:pPr>
        <w:ind w:right="49"/>
        <w:jc w:val="both"/>
        <w:rPr>
          <w:rFonts w:ascii="Arial" w:hAnsi="Arial" w:cs="Arial"/>
          <w:lang w:val="es-ES"/>
        </w:rPr>
      </w:pPr>
      <w:r>
        <w:rPr>
          <w:rFonts w:ascii="Arial" w:hAnsi="Arial" w:cs="Arial"/>
          <w:lang w:val="es-ES"/>
        </w:rPr>
        <w:t>Sabemos de la misma manera que para el impulso de la acción de cobro se requiere de la existencia de un documento que sirva de título ejecutivo, el cual debe contar con los atributos de la: Claridad, Exigibilidad y Expresividad.</w:t>
      </w:r>
    </w:p>
    <w:p w14:paraId="4101652C" w14:textId="77777777" w:rsidR="000B3BFD" w:rsidRDefault="000B3BFD" w:rsidP="00C4538C">
      <w:pPr>
        <w:ind w:right="49"/>
        <w:jc w:val="both"/>
        <w:rPr>
          <w:rFonts w:ascii="Arial" w:hAnsi="Arial" w:cs="Arial"/>
          <w:lang w:val="es-ES"/>
        </w:rPr>
      </w:pPr>
    </w:p>
    <w:p w14:paraId="667E1DC5" w14:textId="77777777" w:rsidR="00B12AB3" w:rsidRDefault="000B3BFD" w:rsidP="000B3BFD">
      <w:pPr>
        <w:ind w:right="49"/>
        <w:jc w:val="both"/>
        <w:rPr>
          <w:rFonts w:ascii="Arial" w:hAnsi="Arial" w:cs="Arial"/>
          <w:lang w:val="es-ES"/>
        </w:rPr>
      </w:pPr>
      <w:r>
        <w:rPr>
          <w:rFonts w:ascii="Arial" w:hAnsi="Arial" w:cs="Arial"/>
          <w:lang w:val="es-ES"/>
        </w:rPr>
        <w:t>Con relación a la Exigibilidad debemos tener en cuenta lo señalado en el art. 829 del E.T., norma que señala:</w:t>
      </w:r>
    </w:p>
    <w:p w14:paraId="4B99056E" w14:textId="77777777" w:rsidR="00B12AB3" w:rsidRDefault="00B12AB3" w:rsidP="00C4538C">
      <w:pPr>
        <w:ind w:right="49"/>
        <w:jc w:val="both"/>
        <w:rPr>
          <w:rFonts w:ascii="Arial" w:hAnsi="Arial" w:cs="Arial"/>
          <w:lang w:val="es-ES"/>
        </w:rPr>
      </w:pPr>
    </w:p>
    <w:p w14:paraId="15514D94" w14:textId="77777777" w:rsidR="00B12AB3" w:rsidRPr="00B12AB3" w:rsidRDefault="00B12AB3" w:rsidP="00B12AB3">
      <w:pPr>
        <w:pStyle w:val="NormalWeb"/>
        <w:spacing w:before="0" w:beforeAutospacing="0" w:after="0" w:afterAutospacing="0"/>
        <w:ind w:left="851" w:right="900"/>
        <w:jc w:val="both"/>
        <w:rPr>
          <w:rFonts w:ascii="Arial" w:hAnsi="Arial" w:cs="Arial"/>
          <w:sz w:val="18"/>
          <w:szCs w:val="18"/>
        </w:rPr>
      </w:pPr>
      <w:bookmarkStart w:id="1" w:name="829"/>
      <w:r w:rsidRPr="00B12AB3">
        <w:rPr>
          <w:rFonts w:ascii="Arial" w:hAnsi="Arial" w:cs="Arial"/>
          <w:b/>
          <w:bCs/>
          <w:sz w:val="18"/>
          <w:szCs w:val="18"/>
        </w:rPr>
        <w:t>“ARTICULO 829. EJECUTORIA DE LOS ACTOS.</w:t>
      </w:r>
      <w:bookmarkEnd w:id="1"/>
      <w:r w:rsidRPr="00B12AB3">
        <w:rPr>
          <w:rFonts w:ascii="Arial" w:hAnsi="Arial" w:cs="Arial"/>
          <w:sz w:val="18"/>
          <w:szCs w:val="18"/>
        </w:rPr>
        <w:t> Se entienden ejecutoriados los actos administrativos que sirven de fundamento al cobro coactivo:</w:t>
      </w:r>
    </w:p>
    <w:p w14:paraId="01A64278" w14:textId="77777777" w:rsidR="00B12AB3" w:rsidRPr="00B12AB3" w:rsidRDefault="00B12AB3" w:rsidP="00B12AB3">
      <w:pPr>
        <w:pStyle w:val="NormalWeb"/>
        <w:spacing w:before="0" w:beforeAutospacing="0" w:after="0" w:afterAutospacing="0"/>
        <w:ind w:left="851" w:right="900"/>
        <w:jc w:val="both"/>
        <w:rPr>
          <w:rFonts w:ascii="Arial" w:hAnsi="Arial" w:cs="Arial"/>
          <w:sz w:val="18"/>
          <w:szCs w:val="18"/>
        </w:rPr>
      </w:pPr>
      <w:r w:rsidRPr="00B12AB3">
        <w:rPr>
          <w:rFonts w:ascii="Arial" w:hAnsi="Arial" w:cs="Arial"/>
          <w:sz w:val="18"/>
          <w:szCs w:val="18"/>
        </w:rPr>
        <w:t>1. Cuando contra ellos no proceda recurso alguno.</w:t>
      </w:r>
    </w:p>
    <w:p w14:paraId="37E0EC64" w14:textId="77777777" w:rsidR="00B12AB3" w:rsidRPr="00B12AB3" w:rsidRDefault="00B12AB3" w:rsidP="00B12AB3">
      <w:pPr>
        <w:pStyle w:val="NormalWeb"/>
        <w:spacing w:before="0" w:beforeAutospacing="0" w:after="0" w:afterAutospacing="0"/>
        <w:ind w:left="851" w:right="900"/>
        <w:jc w:val="both"/>
        <w:rPr>
          <w:rFonts w:ascii="Arial" w:hAnsi="Arial" w:cs="Arial"/>
          <w:sz w:val="18"/>
          <w:szCs w:val="18"/>
        </w:rPr>
      </w:pPr>
      <w:r w:rsidRPr="00B12AB3">
        <w:rPr>
          <w:rFonts w:ascii="Arial" w:hAnsi="Arial" w:cs="Arial"/>
          <w:sz w:val="18"/>
          <w:szCs w:val="18"/>
        </w:rPr>
        <w:t>2. Cuando vencido el término para interponer los recursos, no se hayan interpuesto o no se presenten en debida forma.</w:t>
      </w:r>
    </w:p>
    <w:p w14:paraId="6EEB3587" w14:textId="77777777" w:rsidR="00B12AB3" w:rsidRPr="00B12AB3" w:rsidRDefault="00B12AB3" w:rsidP="00B12AB3">
      <w:pPr>
        <w:pStyle w:val="NormalWeb"/>
        <w:spacing w:before="0" w:beforeAutospacing="0" w:after="0" w:afterAutospacing="0"/>
        <w:ind w:left="851" w:right="900"/>
        <w:jc w:val="both"/>
        <w:rPr>
          <w:rFonts w:ascii="Arial" w:hAnsi="Arial" w:cs="Arial"/>
          <w:sz w:val="18"/>
          <w:szCs w:val="18"/>
        </w:rPr>
      </w:pPr>
      <w:r w:rsidRPr="00B12AB3">
        <w:rPr>
          <w:rFonts w:ascii="Arial" w:hAnsi="Arial" w:cs="Arial"/>
          <w:sz w:val="18"/>
          <w:szCs w:val="18"/>
        </w:rPr>
        <w:t>3. Cuando se renuncie expresamente a los recursos o se desista de ellos, y</w:t>
      </w:r>
    </w:p>
    <w:p w14:paraId="55629242" w14:textId="77777777" w:rsidR="00B12AB3" w:rsidRPr="00B12AB3" w:rsidRDefault="00B12AB3" w:rsidP="00B12AB3">
      <w:pPr>
        <w:pStyle w:val="NormalWeb"/>
        <w:spacing w:before="0" w:beforeAutospacing="0" w:after="0" w:afterAutospacing="0"/>
        <w:ind w:left="851" w:right="900"/>
        <w:jc w:val="both"/>
        <w:rPr>
          <w:rFonts w:ascii="Arial" w:hAnsi="Arial" w:cs="Arial"/>
          <w:b/>
          <w:bCs/>
          <w:sz w:val="18"/>
          <w:szCs w:val="18"/>
        </w:rPr>
      </w:pPr>
      <w:r w:rsidRPr="00B12AB3">
        <w:rPr>
          <w:rFonts w:ascii="Arial" w:hAnsi="Arial" w:cs="Arial"/>
          <w:b/>
          <w:bCs/>
          <w:sz w:val="18"/>
          <w:szCs w:val="18"/>
        </w:rPr>
        <w:t>4. Cuando los recursos interpuestos en la vía gubernativa o las acciones de restablecimiento del derecho o de revisión de impuestos se hayan decidido en forma definitiva, según el caso.</w:t>
      </w:r>
      <w:r>
        <w:rPr>
          <w:rFonts w:ascii="Arial" w:hAnsi="Arial" w:cs="Arial"/>
          <w:b/>
          <w:bCs/>
          <w:sz w:val="18"/>
          <w:szCs w:val="18"/>
        </w:rPr>
        <w:t xml:space="preserve"> </w:t>
      </w:r>
      <w:r w:rsidRPr="00B12AB3">
        <w:rPr>
          <w:rFonts w:ascii="Arial" w:hAnsi="Arial" w:cs="Arial"/>
        </w:rPr>
        <w:t>(negritas fuera de texto)</w:t>
      </w:r>
    </w:p>
    <w:p w14:paraId="378A7783" w14:textId="77777777" w:rsidR="00B12AB3" w:rsidRDefault="00B12AB3" w:rsidP="00B12AB3">
      <w:pPr>
        <w:pStyle w:val="NormalWeb"/>
        <w:spacing w:before="0" w:beforeAutospacing="0" w:after="0" w:afterAutospacing="0"/>
        <w:ind w:left="851" w:right="900"/>
        <w:jc w:val="both"/>
        <w:rPr>
          <w:rFonts w:ascii="Arial" w:hAnsi="Arial" w:cs="Arial"/>
          <w:sz w:val="18"/>
          <w:szCs w:val="18"/>
        </w:rPr>
      </w:pPr>
      <w:r w:rsidRPr="00B12AB3">
        <w:rPr>
          <w:rStyle w:val="baj"/>
          <w:rFonts w:ascii="Arial" w:hAnsi="Arial" w:cs="Arial"/>
          <w:b/>
          <w:bCs/>
          <w:sz w:val="18"/>
          <w:szCs w:val="18"/>
        </w:rPr>
        <w:t>PARAGRAFO.</w:t>
      </w:r>
      <w:r w:rsidRPr="00B12AB3">
        <w:rPr>
          <w:rFonts w:ascii="Arial" w:hAnsi="Arial" w:cs="Arial"/>
          <w:sz w:val="18"/>
          <w:szCs w:val="18"/>
        </w:rPr>
        <w:t> &lt;Parágrafo derogado por el artículo </w:t>
      </w:r>
      <w:hyperlink r:id="rId15" w:anchor="140" w:history="1">
        <w:r w:rsidRPr="00B12AB3">
          <w:rPr>
            <w:rStyle w:val="Hipervnculo"/>
            <w:rFonts w:ascii="Arial" w:hAnsi="Arial" w:cs="Arial"/>
            <w:color w:val="auto"/>
            <w:sz w:val="18"/>
            <w:szCs w:val="18"/>
          </w:rPr>
          <w:t>140</w:t>
        </w:r>
      </w:hyperlink>
      <w:r w:rsidRPr="00B12AB3">
        <w:rPr>
          <w:rFonts w:ascii="Arial" w:hAnsi="Arial" w:cs="Arial"/>
          <w:sz w:val="18"/>
          <w:szCs w:val="18"/>
        </w:rPr>
        <w:t> de la Ley 6 de 1992&gt;”</w:t>
      </w:r>
    </w:p>
    <w:p w14:paraId="1299C43A" w14:textId="77777777" w:rsidR="00B12AB3" w:rsidRPr="000B3BFD" w:rsidRDefault="00B12AB3" w:rsidP="00B12AB3">
      <w:pPr>
        <w:pStyle w:val="NormalWeb"/>
        <w:spacing w:before="0" w:beforeAutospacing="0" w:after="0" w:afterAutospacing="0"/>
        <w:ind w:right="900"/>
        <w:jc w:val="both"/>
        <w:rPr>
          <w:rFonts w:ascii="Arial" w:hAnsi="Arial" w:cs="Arial"/>
        </w:rPr>
      </w:pPr>
    </w:p>
    <w:p w14:paraId="438969E0" w14:textId="77777777" w:rsidR="000B3BFD" w:rsidRDefault="000B3BFD" w:rsidP="000B3BFD">
      <w:pPr>
        <w:pStyle w:val="NormalWeb"/>
        <w:spacing w:before="0" w:beforeAutospacing="0" w:after="0" w:afterAutospacing="0"/>
        <w:ind w:right="49"/>
        <w:jc w:val="both"/>
        <w:rPr>
          <w:rFonts w:ascii="Arial" w:hAnsi="Arial" w:cs="Arial"/>
        </w:rPr>
      </w:pPr>
      <w:r w:rsidRPr="000B3BFD">
        <w:rPr>
          <w:rFonts w:ascii="Arial" w:hAnsi="Arial" w:cs="Arial"/>
        </w:rPr>
        <w:lastRenderedPageBreak/>
        <w:t>De</w:t>
      </w:r>
      <w:r>
        <w:rPr>
          <w:rFonts w:ascii="Arial" w:hAnsi="Arial" w:cs="Arial"/>
        </w:rPr>
        <w:t>bemos entender que esta norma es de carácter especial y que sólo aplica para los títulos ejecutivos de carácter tributario que emite la UAE-DIAN y que la misma corresponde originalmente a la siguiente norma:</w:t>
      </w:r>
    </w:p>
    <w:p w14:paraId="4DDBEF00" w14:textId="77777777" w:rsidR="000B3BFD" w:rsidRDefault="000B3BFD" w:rsidP="000B3BFD">
      <w:pPr>
        <w:pStyle w:val="NormalWeb"/>
        <w:spacing w:before="0" w:beforeAutospacing="0" w:after="0" w:afterAutospacing="0"/>
        <w:ind w:right="49"/>
        <w:jc w:val="both"/>
        <w:rPr>
          <w:rFonts w:ascii="Arial" w:hAnsi="Arial" w:cs="Arial"/>
        </w:rPr>
      </w:pPr>
    </w:p>
    <w:p w14:paraId="6F4C63BD" w14:textId="77777777" w:rsidR="00FA2978" w:rsidRPr="00ED2DA3" w:rsidRDefault="000B3BFD" w:rsidP="000B3BFD">
      <w:pPr>
        <w:pStyle w:val="NormalWeb"/>
        <w:spacing w:before="0" w:beforeAutospacing="0" w:after="0" w:afterAutospacing="0" w:line="270" w:lineRule="atLeast"/>
        <w:ind w:right="49"/>
        <w:jc w:val="both"/>
        <w:rPr>
          <w:rFonts w:ascii="Arial" w:hAnsi="Arial" w:cs="Arial"/>
        </w:rPr>
      </w:pPr>
      <w:r w:rsidRPr="00ED2DA3">
        <w:rPr>
          <w:rFonts w:ascii="Arial" w:hAnsi="Arial" w:cs="Arial"/>
        </w:rPr>
        <w:t xml:space="preserve">Articulo 106 del Decreto 2503 de 1987, </w:t>
      </w:r>
      <w:r w:rsidRPr="00ED2DA3">
        <w:rPr>
          <w:rFonts w:ascii="Arial" w:hAnsi="Arial" w:cs="Arial"/>
          <w:color w:val="000000"/>
        </w:rPr>
        <w:t>por medio del cual se dictan normas para el efectivo control, recaudo, cobro, determinación y discusión de impuestos que administra la Dirección General de Impuestos Nacionales.</w:t>
      </w:r>
      <w:r w:rsidRPr="00ED2DA3">
        <w:rPr>
          <w:rFonts w:ascii="Arial" w:hAnsi="Arial" w:cs="Arial"/>
        </w:rPr>
        <w:t>:</w:t>
      </w:r>
    </w:p>
    <w:p w14:paraId="3461D779" w14:textId="77777777" w:rsidR="000B3BFD" w:rsidRDefault="000B3BFD" w:rsidP="000465E4">
      <w:pPr>
        <w:pStyle w:val="NormalWeb"/>
        <w:spacing w:before="0" w:beforeAutospacing="0" w:after="0" w:afterAutospacing="0" w:line="270" w:lineRule="atLeast"/>
        <w:ind w:right="900"/>
        <w:jc w:val="both"/>
        <w:rPr>
          <w:rFonts w:ascii="Arial" w:hAnsi="Arial" w:cs="Arial"/>
        </w:rPr>
      </w:pPr>
    </w:p>
    <w:p w14:paraId="70FB2037"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“Artículo 106</w:t>
      </w:r>
      <w:r w:rsidRPr="00ED2DA3">
        <w:rPr>
          <w:rFonts w:ascii="Arial" w:hAnsi="Arial" w:cs="Arial"/>
          <w:b/>
          <w:bCs/>
          <w:color w:val="000000"/>
          <w:sz w:val="18"/>
          <w:szCs w:val="18"/>
        </w:rPr>
        <w:t>.</w:t>
      </w:r>
      <w:r w:rsidRPr="00ED2DA3">
        <w:rPr>
          <w:rFonts w:ascii="Arial" w:hAnsi="Arial" w:cs="Arial"/>
          <w:color w:val="000000"/>
          <w:sz w:val="18"/>
          <w:szCs w:val="18"/>
        </w:rPr>
        <w:t> Ejecutoria de los actos. Se entienden ejecutoriados los actos administrativos que sirven de fundamento al cobro coactivo: </w:t>
      </w:r>
    </w:p>
    <w:p w14:paraId="4D17554C"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  </w:t>
      </w:r>
    </w:p>
    <w:p w14:paraId="0609ED01"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1. Cuando contra ellos no proceda recurso alguno. </w:t>
      </w:r>
    </w:p>
    <w:p w14:paraId="63D9C952"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  </w:t>
      </w:r>
    </w:p>
    <w:p w14:paraId="67ED4E67"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2. Cuando vencido el término para interponer los recursos, no se hayan interpuesto o no se presenten en debida forma. </w:t>
      </w:r>
    </w:p>
    <w:p w14:paraId="68FA2DFE"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  </w:t>
      </w:r>
    </w:p>
    <w:p w14:paraId="1B1E42ED"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3. Cuando se renuncie expresamente a los recursos o se desista de ellos, y </w:t>
      </w:r>
    </w:p>
    <w:p w14:paraId="1EC148DA"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  </w:t>
      </w:r>
    </w:p>
    <w:p w14:paraId="200A536B" w14:textId="77777777" w:rsidR="000B3BFD" w:rsidRPr="00ED2DA3" w:rsidRDefault="000B3BFD" w:rsidP="00ED2DA3">
      <w:pPr>
        <w:pStyle w:val="NormalWeb"/>
        <w:spacing w:before="0" w:beforeAutospacing="0" w:after="0" w:afterAutospacing="0"/>
        <w:ind w:left="567" w:right="616"/>
        <w:jc w:val="both"/>
        <w:rPr>
          <w:rFonts w:ascii="Arial" w:hAnsi="Arial" w:cs="Arial"/>
          <w:b/>
          <w:bCs/>
          <w:color w:val="000000"/>
          <w:sz w:val="18"/>
          <w:szCs w:val="18"/>
        </w:rPr>
      </w:pPr>
      <w:r w:rsidRPr="00ED2DA3">
        <w:rPr>
          <w:rFonts w:ascii="Arial" w:hAnsi="Arial" w:cs="Arial"/>
          <w:b/>
          <w:bCs/>
          <w:color w:val="000000"/>
          <w:sz w:val="18"/>
          <w:szCs w:val="18"/>
        </w:rPr>
        <w:t>4. Cuando los recursos interpuestos en la vía gubernativa o las acciones de restablecimiento del derecho o de revisión de impuestos se hayan decidido en forma definitiva, según el caso. </w:t>
      </w:r>
      <w:r w:rsidR="00ED2DA3" w:rsidRPr="00ED2DA3">
        <w:rPr>
          <w:rFonts w:ascii="Arial" w:hAnsi="Arial" w:cs="Arial"/>
          <w:color w:val="000000"/>
          <w:sz w:val="18"/>
          <w:szCs w:val="18"/>
        </w:rPr>
        <w:t xml:space="preserve"> (Negrita fuera de texto)</w:t>
      </w:r>
    </w:p>
    <w:p w14:paraId="15697AC1" w14:textId="77777777" w:rsidR="000B3BFD" w:rsidRPr="00ED2DA3"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  </w:t>
      </w:r>
    </w:p>
    <w:p w14:paraId="7042254F" w14:textId="77777777" w:rsidR="000B3BFD" w:rsidRDefault="000B3BFD" w:rsidP="00ED2DA3">
      <w:pPr>
        <w:pStyle w:val="NormalWeb"/>
        <w:spacing w:before="0" w:beforeAutospacing="0" w:after="0" w:afterAutospacing="0"/>
        <w:ind w:left="567" w:right="616"/>
        <w:jc w:val="both"/>
        <w:rPr>
          <w:rFonts w:ascii="Arial" w:hAnsi="Arial" w:cs="Arial"/>
          <w:color w:val="000000"/>
          <w:sz w:val="18"/>
          <w:szCs w:val="18"/>
        </w:rPr>
      </w:pPr>
      <w:r w:rsidRPr="00ED2DA3">
        <w:rPr>
          <w:rFonts w:ascii="Arial" w:hAnsi="Arial" w:cs="Arial"/>
          <w:color w:val="000000"/>
          <w:sz w:val="18"/>
          <w:szCs w:val="18"/>
        </w:rPr>
        <w:t>Parágrafo. El ejercicio de la acción de revocatoria directa contra los actos de la administración, suspende la acción de cobro, hasta tanto se resuella sobre la misma.”</w:t>
      </w:r>
    </w:p>
    <w:p w14:paraId="3CF2D8B6" w14:textId="77777777" w:rsidR="00ED2DA3" w:rsidRPr="00ED2DA3" w:rsidRDefault="00ED2DA3" w:rsidP="00ED2DA3">
      <w:pPr>
        <w:pStyle w:val="NormalWeb"/>
        <w:spacing w:before="0" w:beforeAutospacing="0" w:after="0" w:afterAutospacing="0"/>
        <w:jc w:val="both"/>
        <w:rPr>
          <w:rFonts w:ascii="Arial" w:hAnsi="Arial" w:cs="Arial"/>
          <w:color w:val="000000"/>
        </w:rPr>
      </w:pPr>
    </w:p>
    <w:p w14:paraId="2D2DE6CE" w14:textId="77777777" w:rsidR="00ED2DA3" w:rsidRDefault="00ED2DA3" w:rsidP="00ED2DA3">
      <w:pPr>
        <w:pStyle w:val="NormalWeb"/>
        <w:spacing w:before="0" w:beforeAutospacing="0" w:after="0" w:afterAutospacing="0"/>
        <w:jc w:val="both"/>
        <w:rPr>
          <w:rFonts w:ascii="Arial" w:hAnsi="Arial" w:cs="Arial"/>
          <w:color w:val="000000"/>
        </w:rPr>
      </w:pPr>
      <w:r w:rsidRPr="00ED2DA3">
        <w:rPr>
          <w:rFonts w:ascii="Arial" w:hAnsi="Arial" w:cs="Arial"/>
          <w:color w:val="000000"/>
        </w:rPr>
        <w:t>Lo anterior viene a significar que la norma contenida en el actual art. 829 del E.T., sólo regula la ejecutoria de los Actos Administrativos expedidos por la UAE-DIAN en materia tributaria.</w:t>
      </w:r>
    </w:p>
    <w:p w14:paraId="0FB78278" w14:textId="77777777" w:rsidR="00ED2DA3" w:rsidRDefault="00ED2DA3" w:rsidP="00ED2DA3">
      <w:pPr>
        <w:pStyle w:val="NormalWeb"/>
        <w:spacing w:before="0" w:beforeAutospacing="0" w:after="0" w:afterAutospacing="0"/>
        <w:jc w:val="both"/>
        <w:rPr>
          <w:rFonts w:ascii="Arial" w:hAnsi="Arial" w:cs="Arial"/>
          <w:color w:val="000000"/>
        </w:rPr>
      </w:pPr>
    </w:p>
    <w:p w14:paraId="0C0D23F4" w14:textId="77777777" w:rsidR="00ED2DA3" w:rsidRDefault="00ED2DA3" w:rsidP="00ED2DA3">
      <w:pPr>
        <w:pStyle w:val="NormalWeb"/>
        <w:spacing w:before="0" w:beforeAutospacing="0" w:after="0" w:afterAutospacing="0"/>
        <w:jc w:val="both"/>
        <w:rPr>
          <w:rFonts w:ascii="Arial" w:hAnsi="Arial" w:cs="Arial"/>
          <w:color w:val="000000"/>
        </w:rPr>
      </w:pPr>
      <w:r>
        <w:rPr>
          <w:rFonts w:ascii="Arial" w:hAnsi="Arial" w:cs="Arial"/>
          <w:color w:val="000000"/>
        </w:rPr>
        <w:t>En materia aduanera, la cosa es bien distinta, por cuanto para la época en que se emitió el Decreto 2503 de 1987, existía para la administración de los tributos aduaneros la antigua Dirección de General de Aduanas</w:t>
      </w:r>
      <w:r w:rsidR="00C81C5E">
        <w:rPr>
          <w:rFonts w:ascii="Arial" w:hAnsi="Arial" w:cs="Arial"/>
          <w:color w:val="000000"/>
        </w:rPr>
        <w:t xml:space="preserve"> reglada por el Decreto 075 de 1976 y modificada por el decreto 2649 de 1988 y más adelante por lo señalado en el Decreto Ley 1644 de 1991, el que en su art. 27 le reguló lo atinente al cobro.</w:t>
      </w:r>
    </w:p>
    <w:p w14:paraId="1FC39945" w14:textId="77777777" w:rsidR="00C81C5E" w:rsidRDefault="00C81C5E" w:rsidP="00ED2DA3">
      <w:pPr>
        <w:pStyle w:val="NormalWeb"/>
        <w:spacing w:before="0" w:beforeAutospacing="0" w:after="0" w:afterAutospacing="0"/>
        <w:jc w:val="both"/>
        <w:rPr>
          <w:rFonts w:ascii="Arial" w:hAnsi="Arial" w:cs="Arial"/>
          <w:color w:val="000000"/>
        </w:rPr>
      </w:pPr>
    </w:p>
    <w:p w14:paraId="37FFF8A1" w14:textId="77777777" w:rsidR="00C81C5E" w:rsidRDefault="00C81C5E" w:rsidP="00ED2DA3">
      <w:pPr>
        <w:pStyle w:val="NormalWeb"/>
        <w:spacing w:before="0" w:beforeAutospacing="0" w:after="0" w:afterAutospacing="0"/>
        <w:jc w:val="both"/>
        <w:rPr>
          <w:rFonts w:ascii="Arial" w:hAnsi="Arial" w:cs="Arial"/>
          <w:color w:val="000000"/>
        </w:rPr>
      </w:pPr>
      <w:r>
        <w:rPr>
          <w:rFonts w:ascii="Arial" w:hAnsi="Arial" w:cs="Arial"/>
          <w:color w:val="000000"/>
        </w:rPr>
        <w:t xml:space="preserve">Ahora y como lo señala el fallo 250002337-000-2016-00711-01 (25104) del 09 de septiembre de 2021, CP Milton Chaves García, el Decreto 2685 de 1999, conocido como Estatuto Aduanero, si bien hizo reenvío normativo al E.T. para efectos del cobro coactivo de las obligaciones derivadas de la actuación aduanera, </w:t>
      </w:r>
      <w:r w:rsidR="0024186C">
        <w:rPr>
          <w:rFonts w:ascii="Arial" w:hAnsi="Arial" w:cs="Arial"/>
          <w:color w:val="000000"/>
        </w:rPr>
        <w:t xml:space="preserve">tal decreto </w:t>
      </w:r>
      <w:r>
        <w:rPr>
          <w:rFonts w:ascii="Arial" w:hAnsi="Arial" w:cs="Arial"/>
          <w:color w:val="000000"/>
        </w:rPr>
        <w:t>en relación con la ejecutoria de los actos administrativos que sirven de fundamento al cobro coactivo de esta</w:t>
      </w:r>
      <w:r w:rsidR="0024186C">
        <w:rPr>
          <w:rFonts w:ascii="Arial" w:hAnsi="Arial" w:cs="Arial"/>
          <w:color w:val="000000"/>
        </w:rPr>
        <w:t xml:space="preserve"> clase de obligacione</w:t>
      </w:r>
      <w:r>
        <w:rPr>
          <w:rFonts w:ascii="Arial" w:hAnsi="Arial" w:cs="Arial"/>
          <w:color w:val="000000"/>
        </w:rPr>
        <w:t>s no previó una regla especial, por lo que, entonces debemos acudir a lo que señale al respecto el CPACA, el que en su art. 89 señala:</w:t>
      </w:r>
    </w:p>
    <w:p w14:paraId="0562CB0E" w14:textId="77777777" w:rsidR="00C81C5E" w:rsidRDefault="00C81C5E" w:rsidP="00ED2DA3">
      <w:pPr>
        <w:pStyle w:val="NormalWeb"/>
        <w:spacing w:before="0" w:beforeAutospacing="0" w:after="0" w:afterAutospacing="0"/>
        <w:jc w:val="both"/>
        <w:rPr>
          <w:rFonts w:ascii="Arial" w:hAnsi="Arial" w:cs="Arial"/>
          <w:color w:val="000000"/>
        </w:rPr>
      </w:pPr>
    </w:p>
    <w:p w14:paraId="0EA963D5" w14:textId="77777777" w:rsidR="00C81C5E" w:rsidRPr="00C81C5E" w:rsidRDefault="00C81C5E" w:rsidP="00C81C5E">
      <w:pPr>
        <w:pStyle w:val="NormalWeb"/>
        <w:spacing w:before="0" w:beforeAutospacing="0" w:after="0" w:afterAutospacing="0"/>
        <w:ind w:left="851" w:right="900"/>
        <w:jc w:val="both"/>
        <w:rPr>
          <w:rFonts w:ascii="Open Sans" w:hAnsi="Open Sans" w:cs="Open Sans"/>
          <w:sz w:val="18"/>
          <w:szCs w:val="18"/>
        </w:rPr>
      </w:pPr>
      <w:bookmarkStart w:id="2" w:name="87"/>
      <w:r w:rsidRPr="00C81C5E">
        <w:rPr>
          <w:rFonts w:ascii="Open Sans" w:hAnsi="Open Sans" w:cs="Open Sans"/>
          <w:b/>
          <w:bCs/>
          <w:sz w:val="18"/>
          <w:szCs w:val="18"/>
        </w:rPr>
        <w:t>“ARTÍCULO 87. FIRMEZA DE LOS ACTOS ADMINISTRATIVOS.</w:t>
      </w:r>
      <w:bookmarkEnd w:id="2"/>
      <w:r w:rsidRPr="00C81C5E">
        <w:rPr>
          <w:rFonts w:ascii="Open Sans" w:hAnsi="Open Sans" w:cs="Open Sans"/>
          <w:sz w:val="18"/>
          <w:szCs w:val="18"/>
        </w:rPr>
        <w:t> Los actos administrativos quedarán en firme:</w:t>
      </w:r>
    </w:p>
    <w:p w14:paraId="62310F4F" w14:textId="77777777" w:rsidR="00C81C5E" w:rsidRPr="00C81C5E" w:rsidRDefault="00C81C5E" w:rsidP="00C81C5E">
      <w:pPr>
        <w:pStyle w:val="NormalWeb"/>
        <w:spacing w:before="0" w:beforeAutospacing="0" w:after="0" w:afterAutospacing="0"/>
        <w:ind w:left="851" w:right="900"/>
        <w:jc w:val="both"/>
        <w:rPr>
          <w:rFonts w:ascii="Open Sans" w:hAnsi="Open Sans" w:cs="Open Sans"/>
          <w:sz w:val="18"/>
          <w:szCs w:val="18"/>
        </w:rPr>
      </w:pPr>
      <w:r w:rsidRPr="00C81C5E">
        <w:rPr>
          <w:rFonts w:ascii="Open Sans" w:hAnsi="Open Sans" w:cs="Open Sans"/>
          <w:sz w:val="18"/>
          <w:szCs w:val="18"/>
        </w:rPr>
        <w:t>1. Cuando contra ellos no proceda ningún recurso, desde el día siguiente al de su notificación, comunicación o publicación según el caso.</w:t>
      </w:r>
    </w:p>
    <w:p w14:paraId="3612129A" w14:textId="77777777" w:rsidR="00C81C5E" w:rsidRPr="00C81C5E" w:rsidRDefault="00C81C5E" w:rsidP="00C81C5E">
      <w:pPr>
        <w:pStyle w:val="NormalWeb"/>
        <w:spacing w:before="0" w:beforeAutospacing="0" w:after="0" w:afterAutospacing="0"/>
        <w:ind w:left="851" w:right="900"/>
        <w:jc w:val="both"/>
        <w:rPr>
          <w:rFonts w:ascii="Open Sans" w:hAnsi="Open Sans" w:cs="Open Sans"/>
          <w:sz w:val="18"/>
          <w:szCs w:val="18"/>
        </w:rPr>
      </w:pPr>
      <w:r w:rsidRPr="00C81C5E">
        <w:rPr>
          <w:rFonts w:ascii="Open Sans" w:hAnsi="Open Sans" w:cs="Open Sans"/>
          <w:sz w:val="18"/>
          <w:szCs w:val="18"/>
        </w:rPr>
        <w:lastRenderedPageBreak/>
        <w:t>2. Desde el día siguiente a la publicación, comunicación o notificación de la decisión sobre los recursos interpuestos.</w:t>
      </w:r>
    </w:p>
    <w:p w14:paraId="396DEA8A" w14:textId="77777777" w:rsidR="00C81C5E" w:rsidRPr="00C81C5E" w:rsidRDefault="00C81C5E" w:rsidP="00C81C5E">
      <w:pPr>
        <w:pStyle w:val="NormalWeb"/>
        <w:spacing w:before="0" w:beforeAutospacing="0" w:after="0" w:afterAutospacing="0"/>
        <w:ind w:left="851" w:right="900"/>
        <w:jc w:val="both"/>
        <w:rPr>
          <w:rFonts w:ascii="Open Sans" w:hAnsi="Open Sans" w:cs="Open Sans"/>
          <w:sz w:val="18"/>
          <w:szCs w:val="18"/>
        </w:rPr>
      </w:pPr>
      <w:r w:rsidRPr="00C81C5E">
        <w:rPr>
          <w:rFonts w:ascii="Open Sans" w:hAnsi="Open Sans" w:cs="Open Sans"/>
          <w:sz w:val="18"/>
          <w:szCs w:val="18"/>
        </w:rPr>
        <w:t>3. Desde el día siguiente al del vencimiento del término para interponer los recursos, si estos no fueron interpuestos, o se hubiere renunciado expresamente a ellos.</w:t>
      </w:r>
    </w:p>
    <w:p w14:paraId="14631DF4" w14:textId="77777777" w:rsidR="00C81C5E" w:rsidRPr="00C81C5E" w:rsidRDefault="00C81C5E" w:rsidP="00C81C5E">
      <w:pPr>
        <w:pStyle w:val="NormalWeb"/>
        <w:spacing w:before="0" w:beforeAutospacing="0" w:after="0" w:afterAutospacing="0"/>
        <w:ind w:left="851" w:right="900"/>
        <w:jc w:val="both"/>
        <w:rPr>
          <w:rFonts w:ascii="Open Sans" w:hAnsi="Open Sans" w:cs="Open Sans"/>
          <w:sz w:val="18"/>
          <w:szCs w:val="18"/>
        </w:rPr>
      </w:pPr>
      <w:r w:rsidRPr="00C81C5E">
        <w:rPr>
          <w:rFonts w:ascii="Open Sans" w:hAnsi="Open Sans" w:cs="Open Sans"/>
          <w:sz w:val="18"/>
          <w:szCs w:val="18"/>
        </w:rPr>
        <w:t>4. Desde el día siguiente al de la notificación de la aceptación del desistimiento de los recursos.</w:t>
      </w:r>
    </w:p>
    <w:p w14:paraId="101E5287" w14:textId="77777777" w:rsidR="00C81C5E" w:rsidRDefault="00C81C5E" w:rsidP="00C81C5E">
      <w:pPr>
        <w:pStyle w:val="NormalWeb"/>
        <w:spacing w:before="0" w:beforeAutospacing="0" w:after="0" w:afterAutospacing="0"/>
        <w:ind w:left="851" w:right="900"/>
        <w:jc w:val="both"/>
        <w:rPr>
          <w:rFonts w:ascii="Open Sans" w:hAnsi="Open Sans" w:cs="Open Sans"/>
          <w:sz w:val="18"/>
          <w:szCs w:val="18"/>
        </w:rPr>
      </w:pPr>
      <w:r w:rsidRPr="00C81C5E">
        <w:rPr>
          <w:rFonts w:ascii="Open Sans" w:hAnsi="Open Sans" w:cs="Open Sans"/>
          <w:sz w:val="18"/>
          <w:szCs w:val="18"/>
        </w:rPr>
        <w:t>5. Desde el día siguiente al de la protocolización a que alude el artículo </w:t>
      </w:r>
      <w:hyperlink r:id="rId16" w:anchor="85" w:history="1">
        <w:r w:rsidRPr="00C81C5E">
          <w:rPr>
            <w:rStyle w:val="Hipervnculo"/>
            <w:rFonts w:ascii="Open Sans" w:hAnsi="Open Sans" w:cs="Open Sans"/>
            <w:color w:val="auto"/>
            <w:sz w:val="18"/>
            <w:szCs w:val="18"/>
          </w:rPr>
          <w:t>85</w:t>
        </w:r>
      </w:hyperlink>
      <w:r w:rsidRPr="00C81C5E">
        <w:rPr>
          <w:rFonts w:ascii="Open Sans" w:hAnsi="Open Sans" w:cs="Open Sans"/>
          <w:sz w:val="18"/>
          <w:szCs w:val="18"/>
        </w:rPr>
        <w:t> para el silencio administrativo positivo.”</w:t>
      </w:r>
    </w:p>
    <w:p w14:paraId="34CE0A41" w14:textId="77777777" w:rsidR="0024186C" w:rsidRPr="0024186C" w:rsidRDefault="0024186C" w:rsidP="0024186C">
      <w:pPr>
        <w:pStyle w:val="NormalWeb"/>
        <w:spacing w:before="0" w:beforeAutospacing="0" w:after="0" w:afterAutospacing="0"/>
        <w:ind w:right="49"/>
        <w:jc w:val="both"/>
        <w:rPr>
          <w:rFonts w:ascii="Arial" w:hAnsi="Arial" w:cs="Arial"/>
        </w:rPr>
      </w:pPr>
    </w:p>
    <w:p w14:paraId="59A4F142" w14:textId="77777777" w:rsidR="0024186C" w:rsidRDefault="0024186C" w:rsidP="0024186C">
      <w:pPr>
        <w:pStyle w:val="NormalWeb"/>
        <w:spacing w:before="0" w:beforeAutospacing="0" w:after="0" w:afterAutospacing="0"/>
        <w:ind w:right="49"/>
        <w:jc w:val="both"/>
        <w:rPr>
          <w:rFonts w:ascii="Arial" w:hAnsi="Arial" w:cs="Arial"/>
        </w:rPr>
      </w:pPr>
      <w:r w:rsidRPr="0024186C">
        <w:rPr>
          <w:rFonts w:ascii="Arial" w:hAnsi="Arial" w:cs="Arial"/>
        </w:rPr>
        <w:t>De acuerdo con lo que concluye el tribunal de cierre de la jurisdicción de lo contencioso administrativo, no es dable aplicar por vía de analogía el art. 829 del E.T., sino la norma general del CPACA.</w:t>
      </w:r>
    </w:p>
    <w:p w14:paraId="62EBF3C5" w14:textId="77777777" w:rsidR="0024186C" w:rsidRDefault="0024186C" w:rsidP="0024186C">
      <w:pPr>
        <w:pStyle w:val="NormalWeb"/>
        <w:spacing w:before="0" w:beforeAutospacing="0" w:after="0" w:afterAutospacing="0"/>
        <w:ind w:right="49"/>
        <w:jc w:val="both"/>
        <w:rPr>
          <w:rFonts w:ascii="Arial" w:hAnsi="Arial" w:cs="Arial"/>
        </w:rPr>
      </w:pPr>
    </w:p>
    <w:p w14:paraId="5CBFCB2A" w14:textId="77777777" w:rsidR="0024186C" w:rsidRDefault="0024186C" w:rsidP="0024186C">
      <w:pPr>
        <w:pStyle w:val="NormalWeb"/>
        <w:spacing w:before="0" w:beforeAutospacing="0" w:after="0" w:afterAutospacing="0"/>
        <w:ind w:right="49"/>
        <w:jc w:val="both"/>
        <w:rPr>
          <w:rFonts w:ascii="Arial" w:hAnsi="Arial" w:cs="Arial"/>
        </w:rPr>
      </w:pPr>
      <w:r>
        <w:rPr>
          <w:rFonts w:ascii="Arial" w:hAnsi="Arial" w:cs="Arial"/>
        </w:rPr>
        <w:t>En la actualidad el nuevo estatuto aduanero, esto el Decreto 1165 de 2019, señala:</w:t>
      </w:r>
    </w:p>
    <w:p w14:paraId="6D98A12B" w14:textId="77777777" w:rsidR="0024186C" w:rsidRPr="00E31BDF" w:rsidRDefault="0024186C" w:rsidP="0024186C">
      <w:pPr>
        <w:pStyle w:val="NormalWeb"/>
        <w:spacing w:before="0" w:beforeAutospacing="0" w:after="0" w:afterAutospacing="0"/>
        <w:ind w:left="851" w:right="900"/>
        <w:jc w:val="both"/>
        <w:rPr>
          <w:rFonts w:ascii="Calibri" w:hAnsi="Calibri" w:cs="Calibri"/>
          <w:sz w:val="20"/>
          <w:szCs w:val="20"/>
        </w:rPr>
      </w:pPr>
    </w:p>
    <w:p w14:paraId="5F92D61D"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Style w:val="Textoennegrita"/>
          <w:rFonts w:ascii="Calibri" w:hAnsi="Calibri" w:cs="Calibri"/>
          <w:color w:val="000000"/>
          <w:sz w:val="20"/>
          <w:szCs w:val="20"/>
        </w:rPr>
        <w:t>“Artículo 709. Firmeza de los actos.</w:t>
      </w:r>
      <w:r w:rsidRPr="00E31BDF">
        <w:rPr>
          <w:rFonts w:ascii="Calibri" w:hAnsi="Calibri" w:cs="Calibri"/>
          <w:color w:val="000000"/>
          <w:sz w:val="20"/>
          <w:szCs w:val="20"/>
        </w:rPr>
        <w:t> Los actos administrativos quedarán en firme en los siguientes eventos: </w:t>
      </w:r>
    </w:p>
    <w:p w14:paraId="08DB2C10"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1. Cuando contra ellos no proceda recurso alguno. </w:t>
      </w:r>
    </w:p>
    <w:p w14:paraId="490F573E"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2. Cuando vencido el término para interponer los recursos, no se hayan interpues</w:t>
      </w:r>
      <w:r w:rsidRPr="00E31BDF">
        <w:rPr>
          <w:rFonts w:ascii="Calibri" w:hAnsi="Calibri" w:cs="Calibri"/>
          <w:color w:val="000000"/>
          <w:sz w:val="20"/>
          <w:szCs w:val="20"/>
        </w:rPr>
        <w:softHyphen/>
        <w:t>to o no se presenten en debida forma. </w:t>
      </w:r>
    </w:p>
    <w:p w14:paraId="5BA140D9"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3. Al día siguiente a la renuncia expresa a los recursos. </w:t>
      </w:r>
    </w:p>
    <w:p w14:paraId="59826DAF"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4. Al día siguiente a la firmeza del acto que acepta el desistimiento del recurso interpuesto. Contra el acto que acepta el desistimiento del recurso no procederá recurso alguno. </w:t>
      </w:r>
    </w:p>
    <w:p w14:paraId="48467E48"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5. Cuando los recursos interpuestos se hayan decidido en forma definitiva.”</w:t>
      </w:r>
    </w:p>
    <w:p w14:paraId="2946DB82" w14:textId="77777777" w:rsidR="0024186C" w:rsidRPr="00E31BDF" w:rsidRDefault="0024186C" w:rsidP="0024186C">
      <w:pPr>
        <w:pStyle w:val="NormalWeb"/>
        <w:spacing w:before="0" w:beforeAutospacing="0" w:after="0" w:afterAutospacing="0"/>
        <w:ind w:right="49"/>
        <w:jc w:val="both"/>
        <w:rPr>
          <w:rFonts w:ascii="Calibri" w:hAnsi="Calibri" w:cs="Calibri"/>
          <w:sz w:val="20"/>
          <w:szCs w:val="20"/>
        </w:rPr>
      </w:pPr>
    </w:p>
    <w:p w14:paraId="5997CC1D" w14:textId="77777777" w:rsidR="0024186C" w:rsidRPr="00E31BDF" w:rsidRDefault="0024186C" w:rsidP="0024186C">
      <w:pPr>
        <w:pStyle w:val="NormalWeb"/>
        <w:spacing w:before="0" w:beforeAutospacing="0" w:after="0" w:afterAutospacing="0"/>
        <w:ind w:left="851" w:right="900"/>
        <w:jc w:val="both"/>
        <w:rPr>
          <w:rFonts w:ascii="Calibri" w:hAnsi="Calibri" w:cs="Calibri"/>
          <w:sz w:val="20"/>
          <w:szCs w:val="20"/>
        </w:rPr>
      </w:pPr>
    </w:p>
    <w:p w14:paraId="71C1DD98"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Style w:val="Textoennegrita"/>
          <w:rFonts w:ascii="Calibri" w:hAnsi="Calibri" w:cs="Calibri"/>
          <w:color w:val="000000"/>
          <w:sz w:val="20"/>
          <w:szCs w:val="20"/>
        </w:rPr>
        <w:t>“Artículo 726. Remisión al estatuto tributario.</w:t>
      </w:r>
      <w:r w:rsidRPr="00E31BDF">
        <w:rPr>
          <w:rFonts w:ascii="Calibri" w:hAnsi="Calibri" w:cs="Calibri"/>
          <w:color w:val="000000"/>
          <w:sz w:val="20"/>
          <w:szCs w:val="20"/>
        </w:rPr>
        <w:t> Para el cobro de los tributos aduaneros a la importación, intereses, sanciones, garantías y cualquier otro valor causado a favor de la Unidad Administrativa Especial Dirección de Impuestos y Aduanas Nacionales (DIAN) por una operación de comercio exterior, se aplicará el procedimiento establecido en el Estatuto Tributario y demás normas que lo adicionan y complementan. </w:t>
      </w:r>
    </w:p>
    <w:p w14:paraId="60374FAE"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Igualmente, se aplicará la regulación prevista en el Estatuto Tributario y demás normas que lo modifiquen, sustituyan o complementen, para la causación y liquidación de los intereses de mora; la imputación y actualización del valor de las obligaciones pendientes de pago; y la prescripción, otorgamiento de facilidades de pago y remisión de deudas e intervención de la Administración. </w:t>
      </w:r>
    </w:p>
    <w:p w14:paraId="49AB39D1"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Los intereses de mora se calcularán a partir de las siguientes fechas: </w:t>
      </w:r>
    </w:p>
    <w:p w14:paraId="59502290"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1. Del día siguiente al vencimiento del término de permanencia de la mercancía en depósito temporal, cuando la declaración de corrección o liquidación oficial determina un mayor valor a pagar. En el evento de haberse prorrogado el tér</w:t>
      </w:r>
      <w:r w:rsidRPr="00E31BDF">
        <w:rPr>
          <w:rFonts w:ascii="Calibri" w:hAnsi="Calibri" w:cs="Calibri"/>
          <w:color w:val="000000"/>
          <w:sz w:val="20"/>
          <w:szCs w:val="20"/>
        </w:rPr>
        <w:softHyphen/>
        <w:t>mino de almacenamiento, los intereses moratorios se generarán a partir del día siguiente al vencimiento de la prórroga. </w:t>
      </w:r>
    </w:p>
    <w:p w14:paraId="3DE4F7C7"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2. Del día siguiente a la fecha de levante, cuando la declaración de corrección o liquidación oficial mediante la cual se determina un mayor valor a pagar, corresponda a una declaración de modificación o de corrección con pago de rescate. </w:t>
      </w:r>
    </w:p>
    <w:p w14:paraId="632CCE02"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lastRenderedPageBreak/>
        <w:t>3. Del día siguiente a la fecha de levante, cuando la declaración de corrección o liquidación oficial mediante la cual se determina un mayor valor a pagar, co</w:t>
      </w:r>
      <w:r w:rsidRPr="00E31BDF">
        <w:rPr>
          <w:rFonts w:ascii="Calibri" w:hAnsi="Calibri" w:cs="Calibri"/>
          <w:color w:val="000000"/>
          <w:sz w:val="20"/>
          <w:szCs w:val="20"/>
        </w:rPr>
        <w:softHyphen/>
        <w:t>rresponda a una mercancía procedente de zona franca. </w:t>
      </w:r>
    </w:p>
    <w:p w14:paraId="308A74B0" w14:textId="77777777" w:rsidR="0024186C" w:rsidRPr="00E31BDF" w:rsidRDefault="0024186C" w:rsidP="0024186C">
      <w:pPr>
        <w:pStyle w:val="NormalWeb"/>
        <w:spacing w:before="0" w:beforeAutospacing="0" w:after="0" w:afterAutospacing="0" w:line="254" w:lineRule="atLeast"/>
        <w:ind w:left="851" w:right="900"/>
        <w:jc w:val="both"/>
        <w:rPr>
          <w:rFonts w:ascii="Calibri" w:hAnsi="Calibri" w:cs="Calibri"/>
          <w:color w:val="000000"/>
          <w:sz w:val="20"/>
          <w:szCs w:val="20"/>
        </w:rPr>
      </w:pPr>
      <w:r w:rsidRPr="00E31BDF">
        <w:rPr>
          <w:rFonts w:ascii="Calibri" w:hAnsi="Calibri" w:cs="Calibri"/>
          <w:color w:val="000000"/>
          <w:sz w:val="20"/>
          <w:szCs w:val="20"/>
        </w:rPr>
        <w:t>4. Del día siguiente al vencimiento del plazo para pagar tributos aduaneros o pago de cuotas, pago consolidado y pago de declaraciones de envíos de urgentes o mensajería expresa. </w:t>
      </w:r>
    </w:p>
    <w:p w14:paraId="6652F063" w14:textId="77777777" w:rsidR="0024186C" w:rsidRDefault="0024186C" w:rsidP="0024186C">
      <w:pPr>
        <w:pStyle w:val="NormalWeb"/>
        <w:spacing w:before="0" w:beforeAutospacing="0" w:after="0" w:afterAutospacing="0" w:line="254" w:lineRule="atLeast"/>
        <w:ind w:left="851" w:right="900"/>
        <w:jc w:val="both"/>
        <w:rPr>
          <w:rFonts w:ascii="Arial" w:hAnsi="Arial" w:cs="Arial"/>
          <w:color w:val="000000"/>
        </w:rPr>
      </w:pPr>
      <w:r w:rsidRPr="00E31BDF">
        <w:rPr>
          <w:rFonts w:ascii="Calibri" w:hAnsi="Calibri" w:cs="Calibri"/>
          <w:color w:val="000000"/>
          <w:sz w:val="20"/>
          <w:szCs w:val="20"/>
        </w:rPr>
        <w:t>5. Del día siguiente a la fecha de levante, cuando la declaración de corrección o liquidación oficial que determina un mayor valor a pagar corresponda a una de</w:t>
      </w:r>
      <w:r w:rsidRPr="00E31BDF">
        <w:rPr>
          <w:rFonts w:ascii="Calibri" w:hAnsi="Calibri" w:cs="Calibri"/>
          <w:color w:val="000000"/>
          <w:sz w:val="20"/>
          <w:szCs w:val="20"/>
        </w:rPr>
        <w:softHyphen/>
        <w:t>claración inicial de mercancías que no fueron objeto de almacenamiento, como en los casos de declaraciones presentadas para dar por concluido el trámite de una mercancía nacionalizada en lugar de arribo.”</w:t>
      </w:r>
      <w:r>
        <w:rPr>
          <w:rFonts w:ascii="Arial" w:hAnsi="Arial" w:cs="Arial"/>
          <w:color w:val="000000"/>
        </w:rPr>
        <w:t> </w:t>
      </w:r>
    </w:p>
    <w:p w14:paraId="110FFD37" w14:textId="77777777" w:rsidR="0024186C" w:rsidRDefault="0024186C" w:rsidP="0024186C">
      <w:pPr>
        <w:pStyle w:val="NormalWeb"/>
        <w:spacing w:before="0" w:beforeAutospacing="0" w:after="0" w:afterAutospacing="0" w:line="254" w:lineRule="atLeast"/>
        <w:ind w:right="900"/>
        <w:jc w:val="both"/>
        <w:rPr>
          <w:rFonts w:ascii="Arial" w:hAnsi="Arial" w:cs="Arial"/>
          <w:color w:val="000000"/>
        </w:rPr>
      </w:pPr>
    </w:p>
    <w:p w14:paraId="0B49CFD4" w14:textId="77777777" w:rsidR="0024186C" w:rsidRDefault="0024186C" w:rsidP="00DE038E">
      <w:pPr>
        <w:pStyle w:val="NormalWeb"/>
        <w:spacing w:before="0" w:beforeAutospacing="0" w:after="0" w:afterAutospacing="0" w:line="254" w:lineRule="atLeast"/>
        <w:ind w:right="49"/>
        <w:jc w:val="both"/>
        <w:rPr>
          <w:rFonts w:ascii="Arial" w:hAnsi="Arial" w:cs="Arial"/>
          <w:color w:val="000000"/>
        </w:rPr>
      </w:pPr>
      <w:r>
        <w:rPr>
          <w:rFonts w:ascii="Arial" w:hAnsi="Arial" w:cs="Arial"/>
          <w:color w:val="000000"/>
        </w:rPr>
        <w:t>De lo que se tiene, que se mantiene el reenvío normativo al E.T., para los efectos del cobro coactivo de las obligaciones determinadas en los Títulos Ejecutivos provenientes de la autoridad aduanera en lo que atañe al procedimiento aplicable.</w:t>
      </w:r>
    </w:p>
    <w:p w14:paraId="6B699379"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p>
    <w:p w14:paraId="7BA8E020"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r>
        <w:rPr>
          <w:rFonts w:ascii="Arial" w:hAnsi="Arial" w:cs="Arial"/>
          <w:color w:val="000000"/>
        </w:rPr>
        <w:t>En cuanto a la firmeza del acto administrativo se establece una regla especial, parecida a la indicada en el CPACA, art. 89, esto es, no consagra para el efecto la regla contenida en el numeral 4 del artículo 829 del E.T.</w:t>
      </w:r>
    </w:p>
    <w:p w14:paraId="3FE9F23F"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p>
    <w:p w14:paraId="06EDF7A8"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r>
        <w:rPr>
          <w:rFonts w:ascii="Arial" w:hAnsi="Arial" w:cs="Arial"/>
          <w:color w:val="000000"/>
        </w:rPr>
        <w:t xml:space="preserve">Quiere decir lo anterior, que en tratándose </w:t>
      </w:r>
      <w:bookmarkStart w:id="3" w:name="_GoBack"/>
      <w:r>
        <w:rPr>
          <w:rFonts w:ascii="Arial" w:hAnsi="Arial" w:cs="Arial"/>
          <w:color w:val="000000"/>
        </w:rPr>
        <w:t>de títulos ejecutivos aduaneros</w:t>
      </w:r>
      <w:bookmarkEnd w:id="3"/>
      <w:r>
        <w:rPr>
          <w:rFonts w:ascii="Arial" w:hAnsi="Arial" w:cs="Arial"/>
          <w:color w:val="000000"/>
        </w:rPr>
        <w:t>, el hecho de ser demandado el mismo ante la jurisdicción de lo contencioso administrativo no impide el inicio del proceso de cobro coactivo, por lo que consecuencialmente frente a una demanda contra dicho título lo procedente dentro del proceso administrativo de cobro una vez iniciado el mismo dar aplicación a lo señalado en el art. 101 del CPACA, que señala:</w:t>
      </w:r>
    </w:p>
    <w:p w14:paraId="1F72F646"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p>
    <w:p w14:paraId="19B14347" w14:textId="77777777" w:rsidR="00DE038E" w:rsidRPr="00DE038E" w:rsidRDefault="00DE038E" w:rsidP="00DE038E">
      <w:pPr>
        <w:pStyle w:val="NormalWeb"/>
        <w:spacing w:line="270" w:lineRule="atLeast"/>
        <w:ind w:left="851" w:right="900"/>
        <w:jc w:val="both"/>
        <w:rPr>
          <w:rFonts w:ascii="Open Sans" w:hAnsi="Open Sans" w:cs="Open Sans"/>
          <w:sz w:val="20"/>
          <w:szCs w:val="20"/>
        </w:rPr>
      </w:pPr>
      <w:bookmarkStart w:id="4" w:name="101"/>
      <w:r w:rsidRPr="00DE038E">
        <w:rPr>
          <w:rFonts w:ascii="Open Sans" w:hAnsi="Open Sans" w:cs="Open Sans"/>
          <w:b/>
          <w:bCs/>
          <w:sz w:val="20"/>
          <w:szCs w:val="20"/>
        </w:rPr>
        <w:t>“ARTÍCULO 101. CONTROL JURISDICCIONAL.</w:t>
      </w:r>
      <w:bookmarkEnd w:id="4"/>
      <w:r w:rsidRPr="00DE038E">
        <w:rPr>
          <w:rFonts w:ascii="Open Sans" w:hAnsi="Open Sans" w:cs="Open Sans"/>
          <w:sz w:val="20"/>
          <w:szCs w:val="20"/>
        </w:rPr>
        <w:t> Sólo serán demandables ante la Jurisdicción de lo Contencioso Administrativo, en los términos de la Parte Segunda de este Código, los actos administrativos que deciden las excepciones a favor del deudor, los que ordenan llevar adelante la ejecución y los que liquiden el crédito.</w:t>
      </w:r>
    </w:p>
    <w:p w14:paraId="15092213" w14:textId="77777777" w:rsidR="00DE038E" w:rsidRPr="002C04ED" w:rsidRDefault="00DE038E" w:rsidP="00DE038E">
      <w:pPr>
        <w:pStyle w:val="NormalWeb"/>
        <w:spacing w:line="270" w:lineRule="atLeast"/>
        <w:ind w:left="851" w:right="900"/>
        <w:jc w:val="both"/>
        <w:rPr>
          <w:rFonts w:ascii="Open Sans" w:hAnsi="Open Sans" w:cs="Open Sans"/>
          <w:b/>
          <w:bCs/>
          <w:i/>
          <w:iCs/>
          <w:sz w:val="20"/>
          <w:szCs w:val="20"/>
          <w:u w:val="single"/>
        </w:rPr>
      </w:pPr>
      <w:r w:rsidRPr="00DE038E">
        <w:rPr>
          <w:rFonts w:ascii="Open Sans" w:hAnsi="Open Sans" w:cs="Open Sans"/>
          <w:b/>
          <w:bCs/>
          <w:i/>
          <w:iCs/>
          <w:sz w:val="20"/>
          <w:szCs w:val="20"/>
          <w:u w:val="single"/>
        </w:rPr>
        <w:t>La admisión de la demanda</w:t>
      </w:r>
      <w:r w:rsidRPr="00DE038E">
        <w:rPr>
          <w:rFonts w:ascii="Open Sans" w:hAnsi="Open Sans" w:cs="Open Sans"/>
          <w:sz w:val="20"/>
          <w:szCs w:val="20"/>
        </w:rPr>
        <w:t xml:space="preserve"> contra los anteriores actos o </w:t>
      </w:r>
      <w:r w:rsidRPr="00DE038E">
        <w:rPr>
          <w:rFonts w:ascii="Open Sans" w:hAnsi="Open Sans" w:cs="Open Sans"/>
          <w:b/>
          <w:bCs/>
          <w:i/>
          <w:iCs/>
          <w:sz w:val="20"/>
          <w:szCs w:val="20"/>
          <w:u w:val="single"/>
        </w:rPr>
        <w:t>contra el que constituye el título ejecutivo no suspende el procedimiento de cobro coactivo</w:t>
      </w:r>
      <w:r w:rsidRPr="00DE038E">
        <w:rPr>
          <w:rFonts w:ascii="Open Sans" w:hAnsi="Open Sans" w:cs="Open Sans"/>
          <w:sz w:val="20"/>
          <w:szCs w:val="20"/>
        </w:rPr>
        <w:t xml:space="preserve">. </w:t>
      </w:r>
      <w:r w:rsidRPr="002C04ED">
        <w:rPr>
          <w:rFonts w:ascii="Open Sans" w:hAnsi="Open Sans" w:cs="Open Sans"/>
          <w:b/>
          <w:bCs/>
          <w:i/>
          <w:iCs/>
          <w:sz w:val="20"/>
          <w:szCs w:val="20"/>
          <w:u w:val="single"/>
        </w:rPr>
        <w:t>Únicamente habrá lugar a la suspensión del procedimiento administrativo de cobro coactivo:</w:t>
      </w:r>
    </w:p>
    <w:p w14:paraId="45E77D5A" w14:textId="77777777" w:rsidR="00DE038E" w:rsidRPr="00DE038E" w:rsidRDefault="00DE038E" w:rsidP="00DE038E">
      <w:pPr>
        <w:pStyle w:val="NormalWeb"/>
        <w:spacing w:line="270" w:lineRule="atLeast"/>
        <w:ind w:left="851" w:right="900"/>
        <w:jc w:val="both"/>
        <w:rPr>
          <w:rFonts w:ascii="Open Sans" w:hAnsi="Open Sans" w:cs="Open Sans"/>
          <w:sz w:val="20"/>
          <w:szCs w:val="20"/>
        </w:rPr>
      </w:pPr>
      <w:r w:rsidRPr="002C04ED">
        <w:rPr>
          <w:rFonts w:ascii="Open Sans" w:hAnsi="Open Sans" w:cs="Open Sans"/>
          <w:b/>
          <w:bCs/>
          <w:i/>
          <w:iCs/>
          <w:sz w:val="20"/>
          <w:szCs w:val="20"/>
          <w:u w:val="single"/>
        </w:rPr>
        <w:t>1. Cuando el acto administrativo que constituye el título ejecutivo haya sido suspendido provisionalmente por la Jurisdicción de lo Contencioso Administrativo</w:t>
      </w:r>
      <w:r w:rsidRPr="00DE038E">
        <w:rPr>
          <w:rFonts w:ascii="Open Sans" w:hAnsi="Open Sans" w:cs="Open Sans"/>
          <w:sz w:val="20"/>
          <w:szCs w:val="20"/>
        </w:rPr>
        <w:t>; y</w:t>
      </w:r>
    </w:p>
    <w:p w14:paraId="51AEF6FC" w14:textId="77777777" w:rsidR="00DE038E" w:rsidRPr="00DE038E" w:rsidRDefault="00DE038E" w:rsidP="00DE038E">
      <w:pPr>
        <w:pStyle w:val="NormalWeb"/>
        <w:spacing w:line="270" w:lineRule="atLeast"/>
        <w:ind w:left="851" w:right="900"/>
        <w:jc w:val="both"/>
        <w:rPr>
          <w:rFonts w:ascii="Open Sans" w:hAnsi="Open Sans" w:cs="Open Sans"/>
          <w:sz w:val="20"/>
          <w:szCs w:val="20"/>
        </w:rPr>
      </w:pPr>
      <w:r w:rsidRPr="00DE038E">
        <w:rPr>
          <w:rFonts w:ascii="Open Sans" w:hAnsi="Open Sans" w:cs="Open Sans"/>
          <w:sz w:val="20"/>
          <w:szCs w:val="20"/>
        </w:rPr>
        <w:lastRenderedPageBreak/>
        <w:t>2. A solicitud del ejecutado, cuando proferido el acto que decida las excepciones o el que ordene seguir adelante la ejecución, según el caso, esté pendiente el resultado de un proceso contencioso administrativo de nulidad contra el título ejecutivo, salvo lo dispuesto en leyes especiales. Esta suspensión no dará lugar al levantamiento de medidas cautelares, ni impide el decreto y práctica de medidas cautelares.</w:t>
      </w:r>
    </w:p>
    <w:p w14:paraId="5E3F6184" w14:textId="77777777" w:rsidR="00DE038E" w:rsidRDefault="00DE038E" w:rsidP="00DE038E">
      <w:pPr>
        <w:pStyle w:val="NormalWeb"/>
        <w:spacing w:line="270" w:lineRule="atLeast"/>
        <w:ind w:left="851" w:right="900"/>
        <w:jc w:val="both"/>
        <w:rPr>
          <w:rFonts w:ascii="Open Sans" w:hAnsi="Open Sans" w:cs="Open Sans"/>
          <w:sz w:val="20"/>
          <w:szCs w:val="20"/>
        </w:rPr>
      </w:pPr>
      <w:r w:rsidRPr="00DE038E">
        <w:rPr>
          <w:rStyle w:val="baj"/>
          <w:rFonts w:ascii="Open Sans" w:hAnsi="Open Sans" w:cs="Open Sans"/>
          <w:b/>
          <w:bCs/>
          <w:sz w:val="20"/>
          <w:szCs w:val="20"/>
        </w:rPr>
        <w:t>PARÁGRAFO.</w:t>
      </w:r>
      <w:r w:rsidRPr="00DE038E">
        <w:rPr>
          <w:rFonts w:ascii="Open Sans" w:hAnsi="Open Sans" w:cs="Open Sans"/>
          <w:sz w:val="20"/>
          <w:szCs w:val="20"/>
        </w:rPr>
        <w:t> Los procesos judiciales contra los actos administrativos proferidos en el procedimiento administrativo de cobro coactivo tendrán prelación, sin perjuicio de la que corresponda, según la Constitución Política y otras leyes para otros procesos.”</w:t>
      </w:r>
    </w:p>
    <w:p w14:paraId="58D080BC" w14:textId="77777777" w:rsidR="002C04ED" w:rsidRPr="002C04ED" w:rsidRDefault="002C04ED" w:rsidP="002C04ED">
      <w:pPr>
        <w:pStyle w:val="NormalWeb"/>
        <w:spacing w:line="270" w:lineRule="atLeast"/>
        <w:ind w:right="49"/>
        <w:jc w:val="both"/>
        <w:rPr>
          <w:rFonts w:ascii="Arial" w:hAnsi="Arial" w:cs="Arial"/>
        </w:rPr>
      </w:pPr>
      <w:r w:rsidRPr="002C04ED">
        <w:rPr>
          <w:rStyle w:val="baj"/>
          <w:rFonts w:ascii="Arial" w:hAnsi="Arial" w:cs="Arial"/>
        </w:rPr>
        <w:t>De suerte que en este tipo de asuntos es pertinente agotar el proceso de cobro de ser necesario hasta el remate de los bienes, no obstante que el titulo ejecutivo este demandado ante la jurisdicción de lo contencioso administrativo.</w:t>
      </w:r>
    </w:p>
    <w:p w14:paraId="0D064619" w14:textId="77777777" w:rsidR="00DE038E" w:rsidRDefault="002C04ED" w:rsidP="00DE038E">
      <w:pPr>
        <w:pStyle w:val="NormalWeb"/>
        <w:spacing w:before="0" w:beforeAutospacing="0" w:after="0" w:afterAutospacing="0" w:line="254" w:lineRule="atLeast"/>
        <w:ind w:right="49"/>
        <w:jc w:val="both"/>
        <w:rPr>
          <w:rFonts w:ascii="Arial" w:hAnsi="Arial" w:cs="Arial"/>
          <w:color w:val="000000"/>
        </w:rPr>
      </w:pPr>
      <w:r>
        <w:rPr>
          <w:rFonts w:ascii="Arial" w:hAnsi="Arial" w:cs="Arial"/>
          <w:color w:val="000000"/>
        </w:rPr>
        <w:t>En los anteriores términos dejamos resuelta la solicitud de orientación de la seccional.</w:t>
      </w:r>
    </w:p>
    <w:p w14:paraId="08CE6F91" w14:textId="77777777" w:rsidR="00DE038E" w:rsidRDefault="00DE038E" w:rsidP="00DE038E">
      <w:pPr>
        <w:pStyle w:val="NormalWeb"/>
        <w:spacing w:before="0" w:beforeAutospacing="0" w:after="0" w:afterAutospacing="0" w:line="254" w:lineRule="atLeast"/>
        <w:ind w:right="49"/>
        <w:jc w:val="both"/>
        <w:rPr>
          <w:rFonts w:ascii="Arial" w:hAnsi="Arial" w:cs="Arial"/>
          <w:color w:val="000000"/>
        </w:rPr>
      </w:pPr>
    </w:p>
    <w:p w14:paraId="19F95409" w14:textId="77777777" w:rsidR="000465E4" w:rsidRDefault="00DE038E" w:rsidP="002C04ED">
      <w:pPr>
        <w:pStyle w:val="NormalWeb"/>
        <w:spacing w:before="0" w:beforeAutospacing="0" w:after="0" w:afterAutospacing="0" w:line="254" w:lineRule="atLeast"/>
        <w:ind w:right="49"/>
        <w:jc w:val="both"/>
        <w:rPr>
          <w:rFonts w:ascii="Arial" w:hAnsi="Arial" w:cs="Arial"/>
        </w:rPr>
      </w:pPr>
      <w:r>
        <w:rPr>
          <w:rFonts w:ascii="Arial" w:hAnsi="Arial" w:cs="Arial"/>
          <w:color w:val="000000"/>
        </w:rPr>
        <w:t xml:space="preserve"> </w:t>
      </w:r>
      <w:r w:rsidR="000465E4">
        <w:rPr>
          <w:rFonts w:ascii="Arial" w:hAnsi="Arial" w:cs="Arial"/>
        </w:rPr>
        <w:t>Cordialmente,</w:t>
      </w:r>
    </w:p>
    <w:p w14:paraId="61CDCEAD" w14:textId="77777777" w:rsidR="009B1CFC" w:rsidRDefault="009B1CFC" w:rsidP="000465E4">
      <w:pPr>
        <w:pStyle w:val="NormalWeb"/>
        <w:spacing w:before="0" w:beforeAutospacing="0" w:after="0" w:afterAutospacing="0" w:line="270" w:lineRule="atLeast"/>
        <w:ind w:right="900"/>
        <w:jc w:val="both"/>
        <w:rPr>
          <w:rFonts w:ascii="Arial" w:hAnsi="Arial" w:cs="Arial"/>
        </w:rPr>
      </w:pPr>
    </w:p>
    <w:p w14:paraId="6BB9E253" w14:textId="77777777" w:rsidR="000465E4" w:rsidRDefault="000465E4" w:rsidP="000465E4">
      <w:pPr>
        <w:pStyle w:val="NormalWeb"/>
        <w:spacing w:before="0" w:beforeAutospacing="0" w:after="0" w:afterAutospacing="0" w:line="270" w:lineRule="atLeast"/>
        <w:ind w:right="900"/>
        <w:jc w:val="both"/>
        <w:rPr>
          <w:rFonts w:ascii="Arial" w:hAnsi="Arial" w:cs="Arial"/>
        </w:rPr>
      </w:pPr>
    </w:p>
    <w:p w14:paraId="6412A8A3" w14:textId="77777777" w:rsidR="000465E4" w:rsidRPr="00FB4CA8" w:rsidRDefault="000465E4" w:rsidP="000465E4">
      <w:pPr>
        <w:pStyle w:val="NormalWeb"/>
        <w:spacing w:before="0" w:beforeAutospacing="0" w:after="0" w:afterAutospacing="0" w:line="270" w:lineRule="atLeast"/>
        <w:ind w:right="900"/>
        <w:jc w:val="both"/>
        <w:rPr>
          <w:rFonts w:ascii="Arial" w:hAnsi="Arial" w:cs="Arial"/>
          <w:b/>
          <w:bCs/>
        </w:rPr>
      </w:pPr>
      <w:r w:rsidRPr="00FB4CA8">
        <w:rPr>
          <w:rFonts w:ascii="Arial" w:hAnsi="Arial" w:cs="Arial"/>
          <w:b/>
          <w:bCs/>
        </w:rPr>
        <w:t>J</w:t>
      </w:r>
      <w:r w:rsidR="002C04ED">
        <w:rPr>
          <w:rFonts w:ascii="Arial" w:hAnsi="Arial" w:cs="Arial"/>
          <w:b/>
          <w:bCs/>
        </w:rPr>
        <w:t>AIRO GOMEZ RAMIREZ</w:t>
      </w:r>
    </w:p>
    <w:p w14:paraId="066C19C6" w14:textId="77777777" w:rsidR="000465E4" w:rsidRPr="00FB4CA8" w:rsidRDefault="000465E4" w:rsidP="000465E4">
      <w:pPr>
        <w:pStyle w:val="NormalWeb"/>
        <w:spacing w:before="0" w:beforeAutospacing="0" w:after="0" w:afterAutospacing="0" w:line="270" w:lineRule="atLeast"/>
        <w:ind w:right="900"/>
        <w:jc w:val="both"/>
        <w:rPr>
          <w:rFonts w:ascii="Arial" w:hAnsi="Arial" w:cs="Arial"/>
        </w:rPr>
      </w:pPr>
      <w:r w:rsidRPr="00FB4CA8">
        <w:rPr>
          <w:rFonts w:ascii="Arial" w:hAnsi="Arial" w:cs="Arial"/>
        </w:rPr>
        <w:t>Coordina</w:t>
      </w:r>
      <w:r w:rsidR="002C04ED">
        <w:rPr>
          <w:rFonts w:ascii="Arial" w:hAnsi="Arial" w:cs="Arial"/>
        </w:rPr>
        <w:t>dor</w:t>
      </w:r>
      <w:r w:rsidRPr="00FB4CA8">
        <w:rPr>
          <w:rFonts w:ascii="Arial" w:hAnsi="Arial" w:cs="Arial"/>
        </w:rPr>
        <w:t xml:space="preserve"> de Cobranzas</w:t>
      </w:r>
    </w:p>
    <w:p w14:paraId="7B1E58AE" w14:textId="77777777" w:rsidR="000465E4" w:rsidRDefault="000465E4" w:rsidP="000465E4">
      <w:pPr>
        <w:pStyle w:val="NormalWeb"/>
        <w:spacing w:before="0" w:beforeAutospacing="0" w:after="0" w:afterAutospacing="0" w:line="270" w:lineRule="atLeast"/>
        <w:ind w:right="900"/>
        <w:jc w:val="both"/>
        <w:rPr>
          <w:rFonts w:ascii="Arial" w:hAnsi="Arial" w:cs="Arial"/>
        </w:rPr>
      </w:pPr>
      <w:r>
        <w:rPr>
          <w:rFonts w:ascii="Arial" w:hAnsi="Arial" w:cs="Arial"/>
        </w:rPr>
        <w:t>Subdirección de Cobranzas y Control extensivo</w:t>
      </w:r>
    </w:p>
    <w:p w14:paraId="465DB3D3" w14:textId="77777777" w:rsidR="000465E4" w:rsidRDefault="000465E4" w:rsidP="000465E4">
      <w:pPr>
        <w:pStyle w:val="NormalWeb"/>
        <w:spacing w:before="0" w:beforeAutospacing="0" w:after="0" w:afterAutospacing="0" w:line="270" w:lineRule="atLeast"/>
        <w:ind w:right="900"/>
        <w:jc w:val="both"/>
        <w:rPr>
          <w:rFonts w:ascii="Arial" w:hAnsi="Arial" w:cs="Arial"/>
        </w:rPr>
      </w:pPr>
      <w:r>
        <w:rPr>
          <w:rFonts w:ascii="Arial" w:hAnsi="Arial" w:cs="Arial"/>
        </w:rPr>
        <w:t>Dirección de Gestión de Impuestos</w:t>
      </w:r>
    </w:p>
    <w:p w14:paraId="392D0402" w14:textId="77777777" w:rsidR="002C04ED" w:rsidRDefault="002C04ED" w:rsidP="000465E4">
      <w:pPr>
        <w:pStyle w:val="NormalWeb"/>
        <w:spacing w:before="0" w:beforeAutospacing="0" w:after="0" w:afterAutospacing="0" w:line="270" w:lineRule="atLeast"/>
        <w:ind w:right="900"/>
        <w:jc w:val="both"/>
        <w:rPr>
          <w:rFonts w:ascii="Arial" w:hAnsi="Arial" w:cs="Arial"/>
        </w:rPr>
      </w:pPr>
      <w:r>
        <w:rPr>
          <w:rFonts w:ascii="Arial" w:hAnsi="Arial" w:cs="Arial"/>
        </w:rPr>
        <w:t>UAE-DIAN</w:t>
      </w:r>
    </w:p>
    <w:p w14:paraId="1175EA6E" w14:textId="77777777" w:rsidR="002C04ED" w:rsidRPr="002C04ED" w:rsidRDefault="002C04ED" w:rsidP="000465E4">
      <w:pPr>
        <w:pStyle w:val="NormalWeb"/>
        <w:spacing w:before="0" w:beforeAutospacing="0" w:after="0" w:afterAutospacing="0" w:line="270" w:lineRule="atLeast"/>
        <w:ind w:right="900"/>
        <w:jc w:val="both"/>
        <w:rPr>
          <w:rFonts w:ascii="Arial" w:hAnsi="Arial" w:cs="Arial"/>
          <w:sz w:val="16"/>
          <w:szCs w:val="16"/>
        </w:rPr>
      </w:pPr>
      <w:r w:rsidRPr="002C04ED">
        <w:rPr>
          <w:rFonts w:ascii="Arial" w:hAnsi="Arial" w:cs="Arial"/>
          <w:b/>
          <w:bCs/>
          <w:sz w:val="16"/>
          <w:szCs w:val="16"/>
        </w:rPr>
        <w:t>Proyectó:</w:t>
      </w:r>
      <w:r w:rsidRPr="002C04ED">
        <w:rPr>
          <w:rFonts w:ascii="Arial" w:hAnsi="Arial" w:cs="Arial"/>
          <w:sz w:val="16"/>
          <w:szCs w:val="16"/>
        </w:rPr>
        <w:t xml:space="preserve"> JPC/inspector IV</w:t>
      </w:r>
      <w:r w:rsidR="004462F2">
        <w:rPr>
          <w:rFonts w:ascii="Arial" w:hAnsi="Arial" w:cs="Arial"/>
          <w:sz w:val="16"/>
          <w:szCs w:val="16"/>
        </w:rPr>
        <w:t xml:space="preserve"> – OT-00014-2022</w:t>
      </w:r>
    </w:p>
    <w:p w14:paraId="23DE523C" w14:textId="77777777" w:rsidR="000465E4" w:rsidRDefault="000465E4" w:rsidP="005426BD">
      <w:pPr>
        <w:pStyle w:val="NormalWeb"/>
        <w:spacing w:before="0" w:beforeAutospacing="0" w:after="0" w:afterAutospacing="0" w:line="270" w:lineRule="atLeast"/>
        <w:ind w:right="900"/>
        <w:jc w:val="both"/>
        <w:rPr>
          <w:rFonts w:ascii="Arial" w:hAnsi="Arial" w:cs="Arial"/>
          <w:sz w:val="16"/>
          <w:szCs w:val="16"/>
        </w:rPr>
      </w:pPr>
    </w:p>
    <w:sectPr w:rsidR="000465E4" w:rsidSect="00E70075">
      <w:headerReference w:type="even" r:id="rId17"/>
      <w:headerReference w:type="default" r:id="rId18"/>
      <w:footerReference w:type="even" r:id="rId19"/>
      <w:footerReference w:type="default" r:id="rId20"/>
      <w:headerReference w:type="first" r:id="rId21"/>
      <w:footerReference w:type="first" r:id="rId22"/>
      <w:pgSz w:w="12240" w:h="15840"/>
      <w:pgMar w:top="1701" w:right="1701" w:bottom="1871" w:left="1701" w:header="70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D2B8" w14:textId="77777777" w:rsidR="00A3041D" w:rsidRDefault="00A3041D">
      <w:r>
        <w:separator/>
      </w:r>
    </w:p>
  </w:endnote>
  <w:endnote w:type="continuationSeparator" w:id="0">
    <w:p w14:paraId="068EDE7A" w14:textId="77777777" w:rsidR="00A3041D" w:rsidRDefault="00A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EE4AF2" w:rsidRDefault="00EE4AF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CA4A" w14:textId="77777777" w:rsidR="00DF725E" w:rsidRPr="00D50BDF" w:rsidRDefault="00DF725E" w:rsidP="00DF725E">
    <w:pPr>
      <w:framePr w:w="5032" w:hSpace="142" w:wrap="around" w:vAnchor="text" w:hAnchor="page" w:x="1526" w:y="-1456"/>
      <w:rPr>
        <w:rFonts w:ascii="Calibri Light" w:hAnsi="Calibri Light"/>
        <w:sz w:val="12"/>
      </w:rPr>
    </w:pPr>
    <w:r w:rsidRPr="00D50BDF">
      <w:rPr>
        <w:rFonts w:ascii="Calibri Light" w:hAnsi="Calibri Light"/>
        <w:sz w:val="12"/>
      </w:rPr>
      <w:t>Formule su petición, queja, sugerencia o reclamo en el Sistema PQSR de la DIAN</w:t>
    </w:r>
  </w:p>
  <w:p w14:paraId="77D87791" w14:textId="77777777" w:rsidR="00DF725E" w:rsidRDefault="00DF725E" w:rsidP="00DF725E">
    <w:pPr>
      <w:framePr w:w="5032" w:hSpace="142" w:wrap="around" w:vAnchor="text" w:hAnchor="page" w:x="1526" w:y="-1456"/>
    </w:pPr>
    <w:r w:rsidRPr="00D50BDF">
      <w:rPr>
        <w:rFonts w:ascii="Calibri Light" w:hAnsi="Calibri Light"/>
        <w:sz w:val="18"/>
      </w:rPr>
      <w:t xml:space="preserve">Subdirección de </w:t>
    </w:r>
    <w:r w:rsidR="00DA03AA">
      <w:rPr>
        <w:rFonts w:ascii="Calibri Light" w:hAnsi="Calibri Light"/>
        <w:sz w:val="18"/>
      </w:rPr>
      <w:t>Cobranzas y Control Extensivo</w:t>
    </w:r>
    <w:r w:rsidRPr="00D50BDF">
      <w:rPr>
        <w:rFonts w:ascii="Calibri Light" w:hAnsi="Calibri Light"/>
        <w:sz w:val="18"/>
      </w:rPr>
      <w:t xml:space="preserve">    </w:t>
    </w:r>
  </w:p>
  <w:p w14:paraId="36213EC8" w14:textId="77777777" w:rsidR="00DF725E" w:rsidRPr="00D50BDF" w:rsidRDefault="00EE4AF2" w:rsidP="00DF725E">
    <w:pPr>
      <w:framePr w:w="5032" w:hSpace="142" w:wrap="around" w:vAnchor="text" w:hAnchor="page" w:x="1526" w:y="-1456"/>
      <w:rPr>
        <w:rFonts w:ascii="Calibri Light" w:hAnsi="Calibri Light"/>
        <w:sz w:val="18"/>
      </w:rPr>
    </w:pPr>
    <w:r>
      <w:rPr>
        <w:rFonts w:ascii="Calibri Light" w:hAnsi="Calibri Light"/>
        <w:sz w:val="18"/>
      </w:rPr>
      <w:t xml:space="preserve">Coordinación de Cobranzas </w:t>
    </w:r>
    <w:r w:rsidR="00DF725E" w:rsidRPr="00D50BDF">
      <w:rPr>
        <w:rFonts w:ascii="Calibri Light" w:hAnsi="Calibri Light"/>
        <w:sz w:val="18"/>
      </w:rPr>
      <w:t xml:space="preserve">Cra. 8 Nº 6C-38 piso </w:t>
    </w:r>
    <w:r>
      <w:rPr>
        <w:rFonts w:ascii="Calibri Light" w:hAnsi="Calibri Light"/>
        <w:sz w:val="18"/>
      </w:rPr>
      <w:t>6</w:t>
    </w:r>
    <w:r w:rsidR="00DF725E" w:rsidRPr="00D50BDF">
      <w:rPr>
        <w:rFonts w:ascii="Calibri Light" w:hAnsi="Calibri Light"/>
        <w:sz w:val="18"/>
      </w:rPr>
      <w:t>º</w:t>
    </w:r>
    <w:r w:rsidR="00BE2E6F">
      <w:rPr>
        <w:rFonts w:ascii="Calibri Light" w:hAnsi="Calibri Light"/>
        <w:sz w:val="18"/>
      </w:rPr>
      <w:t xml:space="preserve">  </w:t>
    </w:r>
    <w:r w:rsidR="00DA03AA">
      <w:rPr>
        <w:rFonts w:ascii="Calibri Light" w:hAnsi="Calibri Light"/>
        <w:sz w:val="18"/>
      </w:rPr>
      <w:t xml:space="preserve">      </w:t>
    </w:r>
    <w:r w:rsidR="00BE2E6F">
      <w:rPr>
        <w:rFonts w:ascii="Calibri Light" w:hAnsi="Calibri Light"/>
        <w:sz w:val="18"/>
      </w:rPr>
      <w:t xml:space="preserve">                  </w:t>
    </w:r>
    <w:r w:rsidR="00DF725E" w:rsidRPr="00D50BDF">
      <w:rPr>
        <w:rFonts w:ascii="Calibri Light" w:hAnsi="Calibri Light"/>
        <w:sz w:val="18"/>
      </w:rPr>
      <w:t xml:space="preserve"> </w:t>
    </w:r>
    <w:r w:rsidR="0087206E">
      <w:rPr>
        <w:rFonts w:ascii="Calibri Light" w:hAnsi="Calibri Light"/>
        <w:sz w:val="18"/>
      </w:rPr>
      <w:t xml:space="preserve"> </w:t>
    </w:r>
    <w:r w:rsidR="0087206E" w:rsidRPr="0087206E">
      <w:rPr>
        <w:rFonts w:ascii="Calibri Light" w:hAnsi="Calibri Light" w:cs="Calibri Light"/>
        <w:sz w:val="18"/>
        <w:szCs w:val="18"/>
        <w:lang w:val="es-ES"/>
      </w:rPr>
      <w:t>PBX:</w:t>
    </w:r>
    <w:r w:rsidR="0087206E">
      <w:rPr>
        <w:rFonts w:ascii="Arial" w:hAnsi="Arial" w:cs="Arial"/>
        <w:sz w:val="16"/>
        <w:szCs w:val="16"/>
        <w:lang w:val="es-ES"/>
      </w:rPr>
      <w:t xml:space="preserve"> </w:t>
    </w:r>
    <w:bookmarkStart w:id="5" w:name="_Hlk63152250"/>
    <w:r w:rsidR="0087206E">
      <w:rPr>
        <w:rFonts w:ascii="Calibri Light" w:hAnsi="Calibri Light" w:cs="Calibri Light"/>
        <w:sz w:val="18"/>
        <w:szCs w:val="18"/>
        <w:lang w:val="es-ES"/>
      </w:rPr>
      <w:t>(571) 7428973</w:t>
    </w:r>
    <w:r>
      <w:rPr>
        <w:rFonts w:ascii="Calibri Light" w:hAnsi="Calibri Light" w:cs="Calibri Light"/>
        <w:sz w:val="18"/>
        <w:szCs w:val="18"/>
        <w:lang w:val="es-ES"/>
      </w:rPr>
      <w:t xml:space="preserve"> </w:t>
    </w:r>
    <w:r w:rsidR="0087206E">
      <w:rPr>
        <w:rFonts w:ascii="Calibri Light" w:hAnsi="Calibri Light" w:cs="Calibri Light"/>
        <w:sz w:val="18"/>
        <w:szCs w:val="18"/>
        <w:lang w:val="es-ES"/>
      </w:rPr>
      <w:t xml:space="preserve"> - 3103158107</w:t>
    </w:r>
    <w:bookmarkEnd w:id="5"/>
  </w:p>
  <w:p w14:paraId="79117724" w14:textId="77777777" w:rsidR="00DF725E" w:rsidRPr="00D50BDF" w:rsidRDefault="00DF725E" w:rsidP="00DF725E">
    <w:pPr>
      <w:framePr w:w="5032" w:hSpace="142" w:wrap="around" w:vAnchor="text" w:hAnchor="page" w:x="1526" w:y="-1456"/>
      <w:rPr>
        <w:rFonts w:ascii="Calibri Light" w:hAnsi="Calibri Light"/>
        <w:sz w:val="18"/>
      </w:rPr>
    </w:pPr>
    <w:r w:rsidRPr="00D50BDF">
      <w:rPr>
        <w:rFonts w:ascii="Calibri Light" w:hAnsi="Calibri Light"/>
        <w:sz w:val="18"/>
      </w:rPr>
      <w:t>Código postal 111711</w:t>
    </w:r>
  </w:p>
  <w:p w14:paraId="2DC18DC3" w14:textId="77777777" w:rsidR="00DF725E" w:rsidRDefault="00DF725E" w:rsidP="00DF725E">
    <w:pPr>
      <w:framePr w:w="5032" w:hSpace="142" w:wrap="around" w:vAnchor="text" w:hAnchor="page" w:x="1526" w:y="-1456"/>
    </w:pPr>
    <w:r w:rsidRPr="00D50BDF">
      <w:rPr>
        <w:rFonts w:ascii="Calibri Light" w:hAnsi="Calibri Light"/>
        <w:sz w:val="18"/>
      </w:rPr>
      <w:t>www.dian.gov.co</w:t>
    </w:r>
  </w:p>
  <w:p w14:paraId="70DF9E56" w14:textId="77777777" w:rsidR="00DF725E" w:rsidRDefault="00DF725E" w:rsidP="00DF725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05D2" w14:textId="77777777" w:rsidR="00EE4AF2" w:rsidRDefault="00EE4AF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A6E9" w14:textId="77777777" w:rsidR="00A3041D" w:rsidRDefault="00A3041D">
      <w:r>
        <w:separator/>
      </w:r>
    </w:p>
  </w:footnote>
  <w:footnote w:type="continuationSeparator" w:id="0">
    <w:p w14:paraId="6EFFB161" w14:textId="77777777" w:rsidR="00A3041D" w:rsidRDefault="00A30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EE4AF2" w:rsidRDefault="00EE4AF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A4C9" w14:textId="77777777" w:rsidR="00DF725E" w:rsidRDefault="00296DF0">
    <w:pPr>
      <w:pStyle w:val="Encabezado"/>
      <w:rPr>
        <w:rFonts w:ascii="Arial" w:hAnsi="Arial" w:cs="Arial"/>
        <w:b/>
        <w:bCs/>
        <w:color w:val="000000"/>
        <w:sz w:val="12"/>
      </w:rPr>
    </w:pPr>
    <w:r>
      <w:rPr>
        <w:noProof/>
        <w:lang w:val="es-ES_tradnl" w:eastAsia="zh-CN"/>
      </w:rPr>
      <w:drawing>
        <wp:inline distT="0" distB="0" distL="0" distR="0" wp14:anchorId="0EB8AE9B" wp14:editId="07777777">
          <wp:extent cx="1638300"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Pr>
        <w:rFonts w:ascii="Arial" w:hAnsi="Arial" w:cs="Arial"/>
        <w:b/>
        <w:bCs/>
        <w:noProof/>
        <w:color w:val="000000"/>
        <w:sz w:val="12"/>
        <w:lang w:val="es-ES_tradnl" w:eastAsia="zh-CN"/>
      </w:rPr>
      <w:drawing>
        <wp:anchor distT="0" distB="0" distL="114300" distR="114300" simplePos="0" relativeHeight="251657728" behindDoc="1" locked="0" layoutInCell="1" allowOverlap="1" wp14:anchorId="645B4BF2" wp14:editId="07777777">
          <wp:simplePos x="0" y="0"/>
          <wp:positionH relativeFrom="column">
            <wp:posOffset>3901440</wp:posOffset>
          </wp:positionH>
          <wp:positionV relativeFrom="paragraph">
            <wp:posOffset>88900</wp:posOffset>
          </wp:positionV>
          <wp:extent cx="2214245" cy="368300"/>
          <wp:effectExtent l="0" t="0" r="0" b="0"/>
          <wp:wrapTight wrapText="bothSides">
            <wp:wrapPolygon edited="0">
              <wp:start x="21600" y="21600"/>
              <wp:lineTo x="21600" y="1490"/>
              <wp:lineTo x="229" y="1490"/>
              <wp:lineTo x="229" y="21600"/>
              <wp:lineTo x="21600" y="2160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221424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CB0F" w14:textId="77777777" w:rsidR="00DF725E" w:rsidRDefault="00DF725E">
    <w:pPr>
      <w:pStyle w:val="Encabezado"/>
    </w:pPr>
  </w:p>
  <w:p w14:paraId="07459315" w14:textId="77777777" w:rsidR="00DF725E" w:rsidRDefault="00DF725E">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F28F" w14:textId="77777777" w:rsidR="00EE4AF2" w:rsidRDefault="00EE4AF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D88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D80FD8"/>
    <w:lvl w:ilvl="0">
      <w:start w:val="1"/>
      <w:numFmt w:val="decimal"/>
      <w:lvlText w:val="%1."/>
      <w:lvlJc w:val="left"/>
      <w:pPr>
        <w:tabs>
          <w:tab w:val="num" w:pos="1492"/>
        </w:tabs>
        <w:ind w:left="1492" w:hanging="360"/>
      </w:pPr>
    </w:lvl>
  </w:abstractNum>
  <w:abstractNum w:abstractNumId="2">
    <w:nsid w:val="FFFFFF7D"/>
    <w:multiLevelType w:val="singleLevel"/>
    <w:tmpl w:val="B720D9A4"/>
    <w:lvl w:ilvl="0">
      <w:start w:val="1"/>
      <w:numFmt w:val="decimal"/>
      <w:lvlText w:val="%1."/>
      <w:lvlJc w:val="left"/>
      <w:pPr>
        <w:tabs>
          <w:tab w:val="num" w:pos="1209"/>
        </w:tabs>
        <w:ind w:left="1209" w:hanging="360"/>
      </w:pPr>
    </w:lvl>
  </w:abstractNum>
  <w:abstractNum w:abstractNumId="3">
    <w:nsid w:val="FFFFFF7E"/>
    <w:multiLevelType w:val="singleLevel"/>
    <w:tmpl w:val="D39ED952"/>
    <w:lvl w:ilvl="0">
      <w:start w:val="1"/>
      <w:numFmt w:val="decimal"/>
      <w:lvlText w:val="%1."/>
      <w:lvlJc w:val="left"/>
      <w:pPr>
        <w:tabs>
          <w:tab w:val="num" w:pos="926"/>
        </w:tabs>
        <w:ind w:left="926" w:hanging="360"/>
      </w:pPr>
    </w:lvl>
  </w:abstractNum>
  <w:abstractNum w:abstractNumId="4">
    <w:nsid w:val="FFFFFF7F"/>
    <w:multiLevelType w:val="singleLevel"/>
    <w:tmpl w:val="C7C0C5D4"/>
    <w:lvl w:ilvl="0">
      <w:start w:val="1"/>
      <w:numFmt w:val="decimal"/>
      <w:lvlText w:val="%1."/>
      <w:lvlJc w:val="left"/>
      <w:pPr>
        <w:tabs>
          <w:tab w:val="num" w:pos="643"/>
        </w:tabs>
        <w:ind w:left="643" w:hanging="360"/>
      </w:pPr>
    </w:lvl>
  </w:abstractNum>
  <w:abstractNum w:abstractNumId="5">
    <w:nsid w:val="FFFFFF80"/>
    <w:multiLevelType w:val="singleLevel"/>
    <w:tmpl w:val="CE0C23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66AE7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6E5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7D629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2804ECE"/>
    <w:lvl w:ilvl="0">
      <w:start w:val="1"/>
      <w:numFmt w:val="decimal"/>
      <w:lvlText w:val="%1."/>
      <w:lvlJc w:val="left"/>
      <w:pPr>
        <w:tabs>
          <w:tab w:val="num" w:pos="360"/>
        </w:tabs>
        <w:ind w:left="360" w:hanging="360"/>
      </w:pPr>
    </w:lvl>
  </w:abstractNum>
  <w:abstractNum w:abstractNumId="10">
    <w:nsid w:val="FFFFFF89"/>
    <w:multiLevelType w:val="singleLevel"/>
    <w:tmpl w:val="454AA364"/>
    <w:lvl w:ilvl="0">
      <w:start w:val="1"/>
      <w:numFmt w:val="bullet"/>
      <w:lvlText w:val=""/>
      <w:lvlJc w:val="left"/>
      <w:pPr>
        <w:tabs>
          <w:tab w:val="num" w:pos="360"/>
        </w:tabs>
        <w:ind w:left="360" w:hanging="360"/>
      </w:pPr>
      <w:rPr>
        <w:rFonts w:ascii="Symbol" w:hAnsi="Symbol" w:hint="default"/>
      </w:rPr>
    </w:lvl>
  </w:abstractNum>
  <w:abstractNum w:abstractNumId="11">
    <w:nsid w:val="0D465E2B"/>
    <w:multiLevelType w:val="hybridMultilevel"/>
    <w:tmpl w:val="4D2C108A"/>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w:hAnsi="Courier"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w:hAnsi="Courier"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w:hAnsi="Courier" w:hint="default"/>
      </w:rPr>
    </w:lvl>
    <w:lvl w:ilvl="8" w:tplc="040A0005" w:tentative="1">
      <w:start w:val="1"/>
      <w:numFmt w:val="bullet"/>
      <w:lvlText w:val=""/>
      <w:lvlJc w:val="left"/>
      <w:pPr>
        <w:ind w:left="6829" w:hanging="360"/>
      </w:pPr>
      <w:rPr>
        <w:rFonts w:ascii="Wingdings" w:hAnsi="Wingdings" w:hint="default"/>
      </w:rPr>
    </w:lvl>
  </w:abstractNum>
  <w:abstractNum w:abstractNumId="12">
    <w:nsid w:val="110C1AD4"/>
    <w:multiLevelType w:val="hybridMultilevel"/>
    <w:tmpl w:val="B8D09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6422326"/>
    <w:multiLevelType w:val="hybridMultilevel"/>
    <w:tmpl w:val="14428A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17387BB1"/>
    <w:multiLevelType w:val="hybridMultilevel"/>
    <w:tmpl w:val="4114325E"/>
    <w:lvl w:ilvl="0" w:tplc="45AC4F5E">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5">
    <w:nsid w:val="19F03356"/>
    <w:multiLevelType w:val="hybridMultilevel"/>
    <w:tmpl w:val="4D2C1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E0550DE"/>
    <w:multiLevelType w:val="multilevel"/>
    <w:tmpl w:val="3FBA2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0F639F"/>
    <w:multiLevelType w:val="multilevel"/>
    <w:tmpl w:val="259AC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A737D2"/>
    <w:multiLevelType w:val="hybridMultilevel"/>
    <w:tmpl w:val="4D2C1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AD161EB"/>
    <w:multiLevelType w:val="hybridMultilevel"/>
    <w:tmpl w:val="4D2C108A"/>
    <w:lvl w:ilvl="0" w:tplc="040A0001">
      <w:start w:val="1"/>
      <w:numFmt w:val="bullet"/>
      <w:lvlText w:val=""/>
      <w:lvlJc w:val="left"/>
      <w:pPr>
        <w:ind w:left="720" w:hanging="360"/>
      </w:pPr>
      <w:rPr>
        <w:rFonts w:ascii="Symbol" w:hAnsi="Symbol" w:hint="default"/>
        <w:sz w:val="28"/>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BC44C4C"/>
    <w:multiLevelType w:val="multilevel"/>
    <w:tmpl w:val="7880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11C19"/>
    <w:multiLevelType w:val="hybridMultilevel"/>
    <w:tmpl w:val="3AD0914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806131"/>
    <w:multiLevelType w:val="hybridMultilevel"/>
    <w:tmpl w:val="9BCEB11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3CA4110A"/>
    <w:multiLevelType w:val="multilevel"/>
    <w:tmpl w:val="C812FE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172654"/>
    <w:multiLevelType w:val="hybridMultilevel"/>
    <w:tmpl w:val="CEF048F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nsid w:val="5F296F28"/>
    <w:multiLevelType w:val="multilevel"/>
    <w:tmpl w:val="211C9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EB6BE9"/>
    <w:multiLevelType w:val="hybridMultilevel"/>
    <w:tmpl w:val="4D2C1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1261EC2"/>
    <w:multiLevelType w:val="multilevel"/>
    <w:tmpl w:val="3FBA2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CA2FDA"/>
    <w:multiLevelType w:val="multilevel"/>
    <w:tmpl w:val="DB481C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0"/>
  </w:num>
  <w:num w:numId="13">
    <w:abstractNumId w:val="13"/>
  </w:num>
  <w:num w:numId="14">
    <w:abstractNumId w:val="22"/>
  </w:num>
  <w:num w:numId="15">
    <w:abstractNumId w:val="24"/>
  </w:num>
  <w:num w:numId="16">
    <w:abstractNumId w:val="15"/>
  </w:num>
  <w:num w:numId="17">
    <w:abstractNumId w:val="26"/>
  </w:num>
  <w:num w:numId="18">
    <w:abstractNumId w:val="18"/>
  </w:num>
  <w:num w:numId="19">
    <w:abstractNumId w:val="19"/>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14"/>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59"/>
    <w:rsid w:val="000465E4"/>
    <w:rsid w:val="000708B7"/>
    <w:rsid w:val="00090D33"/>
    <w:rsid w:val="00092FF7"/>
    <w:rsid w:val="000B20F1"/>
    <w:rsid w:val="000B3BFD"/>
    <w:rsid w:val="000C1E82"/>
    <w:rsid w:val="000D0A78"/>
    <w:rsid w:val="000D79A7"/>
    <w:rsid w:val="000F6DB5"/>
    <w:rsid w:val="001120C4"/>
    <w:rsid w:val="00132011"/>
    <w:rsid w:val="00135296"/>
    <w:rsid w:val="001430BD"/>
    <w:rsid w:val="00181227"/>
    <w:rsid w:val="001861C2"/>
    <w:rsid w:val="001919FB"/>
    <w:rsid w:val="001B384F"/>
    <w:rsid w:val="001D128A"/>
    <w:rsid w:val="001D4D13"/>
    <w:rsid w:val="001E4D59"/>
    <w:rsid w:val="00214557"/>
    <w:rsid w:val="0024186C"/>
    <w:rsid w:val="00242588"/>
    <w:rsid w:val="00296DF0"/>
    <w:rsid w:val="002A223B"/>
    <w:rsid w:val="002B5024"/>
    <w:rsid w:val="002C04ED"/>
    <w:rsid w:val="002E13F7"/>
    <w:rsid w:val="002E4E0B"/>
    <w:rsid w:val="00311F43"/>
    <w:rsid w:val="0033447B"/>
    <w:rsid w:val="00351600"/>
    <w:rsid w:val="003914C2"/>
    <w:rsid w:val="003B6728"/>
    <w:rsid w:val="003F02EB"/>
    <w:rsid w:val="00424365"/>
    <w:rsid w:val="00431AEB"/>
    <w:rsid w:val="004462F2"/>
    <w:rsid w:val="00464A8C"/>
    <w:rsid w:val="00473F7B"/>
    <w:rsid w:val="004E3441"/>
    <w:rsid w:val="004F4F80"/>
    <w:rsid w:val="00505A22"/>
    <w:rsid w:val="00521A12"/>
    <w:rsid w:val="005426BD"/>
    <w:rsid w:val="0055435E"/>
    <w:rsid w:val="005813A2"/>
    <w:rsid w:val="00590D39"/>
    <w:rsid w:val="005C7B74"/>
    <w:rsid w:val="005D229A"/>
    <w:rsid w:val="005F00FD"/>
    <w:rsid w:val="005F11E6"/>
    <w:rsid w:val="005F1CA3"/>
    <w:rsid w:val="005F37B5"/>
    <w:rsid w:val="00600433"/>
    <w:rsid w:val="006115A3"/>
    <w:rsid w:val="00674B83"/>
    <w:rsid w:val="006F2A0C"/>
    <w:rsid w:val="00720F09"/>
    <w:rsid w:val="00731598"/>
    <w:rsid w:val="007365AB"/>
    <w:rsid w:val="00773563"/>
    <w:rsid w:val="007B7146"/>
    <w:rsid w:val="007C5152"/>
    <w:rsid w:val="007E6C17"/>
    <w:rsid w:val="007F6820"/>
    <w:rsid w:val="008126DC"/>
    <w:rsid w:val="0087206E"/>
    <w:rsid w:val="008A2D78"/>
    <w:rsid w:val="008C3582"/>
    <w:rsid w:val="008C51C1"/>
    <w:rsid w:val="008D232F"/>
    <w:rsid w:val="00913C20"/>
    <w:rsid w:val="00941124"/>
    <w:rsid w:val="00983587"/>
    <w:rsid w:val="009B1CFC"/>
    <w:rsid w:val="009B392C"/>
    <w:rsid w:val="009E5127"/>
    <w:rsid w:val="00A3041D"/>
    <w:rsid w:val="00A33039"/>
    <w:rsid w:val="00A3343A"/>
    <w:rsid w:val="00A77354"/>
    <w:rsid w:val="00A811FF"/>
    <w:rsid w:val="00A9111A"/>
    <w:rsid w:val="00AC1323"/>
    <w:rsid w:val="00AD490F"/>
    <w:rsid w:val="00AD4C13"/>
    <w:rsid w:val="00B0055F"/>
    <w:rsid w:val="00B02C3F"/>
    <w:rsid w:val="00B12AB3"/>
    <w:rsid w:val="00B25CB4"/>
    <w:rsid w:val="00B60866"/>
    <w:rsid w:val="00BE2CFB"/>
    <w:rsid w:val="00BE2E6F"/>
    <w:rsid w:val="00C27FB8"/>
    <w:rsid w:val="00C359AA"/>
    <w:rsid w:val="00C4538C"/>
    <w:rsid w:val="00C77B2A"/>
    <w:rsid w:val="00C81C5E"/>
    <w:rsid w:val="00C87D60"/>
    <w:rsid w:val="00C921CD"/>
    <w:rsid w:val="00CF2AB8"/>
    <w:rsid w:val="00D44FC6"/>
    <w:rsid w:val="00D50BDF"/>
    <w:rsid w:val="00DA03AA"/>
    <w:rsid w:val="00DB2BCA"/>
    <w:rsid w:val="00DE038E"/>
    <w:rsid w:val="00DE5FF0"/>
    <w:rsid w:val="00DF725E"/>
    <w:rsid w:val="00E16A1D"/>
    <w:rsid w:val="00E31BDF"/>
    <w:rsid w:val="00E63AD6"/>
    <w:rsid w:val="00E70075"/>
    <w:rsid w:val="00EB5649"/>
    <w:rsid w:val="00ED165F"/>
    <w:rsid w:val="00ED2DA3"/>
    <w:rsid w:val="00EE4AF2"/>
    <w:rsid w:val="00F53802"/>
    <w:rsid w:val="00F543FE"/>
    <w:rsid w:val="00F73724"/>
    <w:rsid w:val="00F738E3"/>
    <w:rsid w:val="00F95F72"/>
    <w:rsid w:val="00FA2978"/>
    <w:rsid w:val="00FB66A5"/>
    <w:rsid w:val="00FC5A40"/>
    <w:rsid w:val="00FE6F67"/>
    <w:rsid w:val="00FF6362"/>
    <w:rsid w:val="042C6E41"/>
    <w:rsid w:val="69081FA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F8B9D"/>
  <w15:chartTrackingRefBased/>
  <w15:docId w15:val="{4DBB931F-D59D-42A7-86DE-9BA5EFCA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CO" w:eastAsia="es-CO"/>
    </w:rPr>
  </w:style>
  <w:style w:type="paragraph" w:styleId="Ttulo2">
    <w:name w:val="heading 2"/>
    <w:basedOn w:val="Normal"/>
    <w:next w:val="Normal"/>
    <w:link w:val="Ttulo2Car"/>
    <w:qFormat/>
    <w:rsid w:val="004E7264"/>
    <w:pPr>
      <w:keepNext/>
      <w:outlineLvl w:val="1"/>
    </w:pPr>
    <w:rPr>
      <w:b/>
      <w:i/>
      <w:snapToGrid w:val="0"/>
      <w:color w:val="000000"/>
      <w:sz w:val="5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075B9"/>
    <w:pPr>
      <w:tabs>
        <w:tab w:val="center" w:pos="4419"/>
        <w:tab w:val="right" w:pos="8838"/>
      </w:tabs>
    </w:pPr>
  </w:style>
  <w:style w:type="paragraph" w:styleId="Piedepgina">
    <w:name w:val="footer"/>
    <w:basedOn w:val="Normal"/>
    <w:rsid w:val="009075B9"/>
    <w:pPr>
      <w:tabs>
        <w:tab w:val="center" w:pos="4419"/>
        <w:tab w:val="right" w:pos="8838"/>
      </w:tabs>
    </w:pPr>
  </w:style>
  <w:style w:type="table" w:styleId="Tablaconcuadrcula">
    <w:name w:val="Table Grid"/>
    <w:basedOn w:val="Tablanormal"/>
    <w:uiPriority w:val="59"/>
    <w:rsid w:val="00386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neadereferencia">
    <w:name w:val="Línea de referencia"/>
    <w:basedOn w:val="Textoindependiente"/>
    <w:rsid w:val="00D237A5"/>
  </w:style>
  <w:style w:type="paragraph" w:styleId="Textoindependiente">
    <w:name w:val="Body Text"/>
    <w:basedOn w:val="Normal"/>
    <w:link w:val="TextoindependienteCar"/>
    <w:rsid w:val="00D237A5"/>
    <w:pPr>
      <w:spacing w:after="120"/>
    </w:pPr>
  </w:style>
  <w:style w:type="character" w:customStyle="1" w:styleId="TextoindependienteCar">
    <w:name w:val="Texto independiente Car"/>
    <w:link w:val="Textoindependiente"/>
    <w:rsid w:val="00D237A5"/>
    <w:rPr>
      <w:sz w:val="24"/>
      <w:szCs w:val="24"/>
      <w:lang w:val="es-CO" w:eastAsia="es-CO"/>
    </w:rPr>
  </w:style>
  <w:style w:type="paragraph" w:styleId="Textoindependiente2">
    <w:name w:val="Body Text 2"/>
    <w:basedOn w:val="Normal"/>
    <w:link w:val="Textoindependiente2Car"/>
    <w:rsid w:val="004E7264"/>
    <w:pPr>
      <w:spacing w:after="120" w:line="480" w:lineRule="auto"/>
    </w:pPr>
  </w:style>
  <w:style w:type="character" w:customStyle="1" w:styleId="Textoindependiente2Car">
    <w:name w:val="Texto independiente 2 Car"/>
    <w:link w:val="Textoindependiente2"/>
    <w:rsid w:val="004E7264"/>
    <w:rPr>
      <w:sz w:val="24"/>
      <w:szCs w:val="24"/>
      <w:lang w:val="es-CO" w:eastAsia="es-CO"/>
    </w:rPr>
  </w:style>
  <w:style w:type="character" w:customStyle="1" w:styleId="Ttulo2Car">
    <w:name w:val="Título 2 Car"/>
    <w:link w:val="Ttulo2"/>
    <w:rsid w:val="004E7264"/>
    <w:rPr>
      <w:b/>
      <w:i/>
      <w:snapToGrid w:val="0"/>
      <w:color w:val="000000"/>
      <w:sz w:val="56"/>
      <w:lang w:eastAsia="es-CO"/>
    </w:rPr>
  </w:style>
  <w:style w:type="character" w:styleId="Hipervnculo">
    <w:name w:val="Hyperlink"/>
    <w:rsid w:val="00611AB9"/>
    <w:rPr>
      <w:color w:val="0000FF"/>
      <w:u w:val="single"/>
    </w:rPr>
  </w:style>
  <w:style w:type="character" w:styleId="Hipervnculovisitado">
    <w:name w:val="FollowedHyperlink"/>
    <w:rsid w:val="009E10B4"/>
    <w:rPr>
      <w:color w:val="800080"/>
      <w:u w:val="single"/>
    </w:rPr>
  </w:style>
  <w:style w:type="paragraph" w:styleId="NormalWeb">
    <w:name w:val="Normal (Web)"/>
    <w:basedOn w:val="Normal"/>
    <w:uiPriority w:val="99"/>
    <w:unhideWhenUsed/>
    <w:rsid w:val="001120C4"/>
    <w:pPr>
      <w:spacing w:before="100" w:beforeAutospacing="1" w:after="100" w:afterAutospacing="1"/>
    </w:pPr>
  </w:style>
  <w:style w:type="character" w:customStyle="1" w:styleId="baj">
    <w:name w:val="b_aj"/>
    <w:rsid w:val="004E3441"/>
  </w:style>
  <w:style w:type="paragraph" w:customStyle="1" w:styleId="xmsonormal">
    <w:name w:val="x_msonormal"/>
    <w:basedOn w:val="Normal"/>
    <w:rsid w:val="004E3441"/>
    <w:rPr>
      <w:rFonts w:eastAsia="Calibri"/>
    </w:rPr>
  </w:style>
  <w:style w:type="paragraph" w:customStyle="1" w:styleId="xxmsonormal">
    <w:name w:val="x_xmsonormal"/>
    <w:basedOn w:val="Normal"/>
    <w:uiPriority w:val="99"/>
    <w:rsid w:val="004E3441"/>
    <w:rPr>
      <w:rFonts w:ascii="Calibri" w:eastAsia="Calibri" w:hAnsi="Calibri" w:cs="Calibri"/>
      <w:sz w:val="22"/>
      <w:szCs w:val="22"/>
    </w:rPr>
  </w:style>
  <w:style w:type="paragraph" w:customStyle="1" w:styleId="xxmsolistparagraph">
    <w:name w:val="x_xmsolistparagraph"/>
    <w:basedOn w:val="Normal"/>
    <w:rsid w:val="004E3441"/>
    <w:rPr>
      <w:rFonts w:ascii="Calibri" w:eastAsia="Calibri" w:hAnsi="Calibri" w:cs="Calibri"/>
      <w:sz w:val="22"/>
      <w:szCs w:val="22"/>
    </w:rPr>
  </w:style>
  <w:style w:type="paragraph" w:customStyle="1" w:styleId="xxwordsection1">
    <w:name w:val="x_xwordsection1"/>
    <w:basedOn w:val="Normal"/>
    <w:rsid w:val="00C87D60"/>
    <w:rPr>
      <w:rFonts w:ascii="Calibri" w:eastAsia="Calibri" w:hAnsi="Calibri" w:cs="Calibri"/>
      <w:sz w:val="22"/>
      <w:szCs w:val="22"/>
    </w:rPr>
  </w:style>
  <w:style w:type="paragraph" w:customStyle="1" w:styleId="Default">
    <w:name w:val="Default"/>
    <w:rsid w:val="000708B7"/>
    <w:pPr>
      <w:autoSpaceDE w:val="0"/>
      <w:autoSpaceDN w:val="0"/>
      <w:adjustRightInd w:val="0"/>
    </w:pPr>
    <w:rPr>
      <w:rFonts w:ascii="Arial" w:hAnsi="Arial" w:cs="Arial"/>
      <w:color w:val="000000"/>
      <w:sz w:val="24"/>
      <w:szCs w:val="24"/>
      <w:lang w:val="es-CO" w:eastAsia="es-CO"/>
    </w:rPr>
  </w:style>
  <w:style w:type="paragraph" w:customStyle="1" w:styleId="xxdefault">
    <w:name w:val="x_xdefault"/>
    <w:basedOn w:val="Normal"/>
    <w:rsid w:val="003B6728"/>
    <w:rPr>
      <w:rFonts w:ascii="Calibri" w:eastAsia="Calibri" w:hAnsi="Calibri" w:cs="Calibri"/>
      <w:sz w:val="22"/>
      <w:szCs w:val="22"/>
    </w:rPr>
  </w:style>
  <w:style w:type="paragraph" w:customStyle="1" w:styleId="xxxmsonormal">
    <w:name w:val="x_x_x_msonormal"/>
    <w:basedOn w:val="Normal"/>
    <w:uiPriority w:val="99"/>
    <w:semiHidden/>
    <w:rsid w:val="005813A2"/>
    <w:rPr>
      <w:rFonts w:ascii="Calibri" w:eastAsia="Calibri" w:hAnsi="Calibri" w:cs="Calibri"/>
      <w:sz w:val="22"/>
      <w:szCs w:val="22"/>
    </w:rPr>
  </w:style>
  <w:style w:type="paragraph" w:customStyle="1" w:styleId="xxxxmsonormal">
    <w:name w:val="x_x_x_xmsonormal"/>
    <w:basedOn w:val="Normal"/>
    <w:uiPriority w:val="99"/>
    <w:semiHidden/>
    <w:rsid w:val="005813A2"/>
    <w:rPr>
      <w:rFonts w:ascii="Calibri" w:eastAsia="Calibri" w:hAnsi="Calibri" w:cs="Calibri"/>
      <w:sz w:val="22"/>
      <w:szCs w:val="22"/>
    </w:rPr>
  </w:style>
  <w:style w:type="paragraph" w:customStyle="1" w:styleId="xxxxxmsonormal">
    <w:name w:val="x_x_x_xxmsonormal"/>
    <w:basedOn w:val="Normal"/>
    <w:uiPriority w:val="99"/>
    <w:semiHidden/>
    <w:rsid w:val="005813A2"/>
    <w:rPr>
      <w:rFonts w:ascii="Calibri" w:eastAsia="Calibri" w:hAnsi="Calibri" w:cs="Calibri"/>
      <w:sz w:val="22"/>
      <w:szCs w:val="22"/>
    </w:rPr>
  </w:style>
  <w:style w:type="paragraph" w:customStyle="1" w:styleId="xxxxxmsonormal0">
    <w:name w:val="x_xxxxmsonormal"/>
    <w:basedOn w:val="Normal"/>
    <w:rsid w:val="001861C2"/>
    <w:rPr>
      <w:rFonts w:ascii="Calibri" w:eastAsia="Calibri" w:hAnsi="Calibri" w:cs="Calibri"/>
      <w:sz w:val="22"/>
      <w:szCs w:val="22"/>
    </w:rPr>
  </w:style>
  <w:style w:type="paragraph" w:customStyle="1" w:styleId="xxxxxxmsonormal">
    <w:name w:val="x_xxxxxmsonormal"/>
    <w:basedOn w:val="Normal"/>
    <w:uiPriority w:val="99"/>
    <w:semiHidden/>
    <w:rsid w:val="001D4D13"/>
    <w:rPr>
      <w:rFonts w:eastAsia="Calibri"/>
    </w:rPr>
  </w:style>
  <w:style w:type="paragraph" w:customStyle="1" w:styleId="xxxxmsonormal0">
    <w:name w:val="x_xxxmsonormal"/>
    <w:basedOn w:val="Normal"/>
    <w:uiPriority w:val="99"/>
    <w:semiHidden/>
    <w:rsid w:val="001D4D13"/>
    <w:rPr>
      <w:rFonts w:eastAsia="Calibri"/>
    </w:rPr>
  </w:style>
  <w:style w:type="character" w:customStyle="1" w:styleId="xxxxxxxxmarkmhtkqhzkg">
    <w:name w:val="x_xxxxxxxmarkmhtkqhzkg"/>
    <w:rsid w:val="001D4D13"/>
  </w:style>
  <w:style w:type="character" w:styleId="Textoennegrita">
    <w:name w:val="Strong"/>
    <w:uiPriority w:val="22"/>
    <w:qFormat/>
    <w:rsid w:val="0024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6582">
      <w:bodyDiv w:val="1"/>
      <w:marLeft w:val="0"/>
      <w:marRight w:val="0"/>
      <w:marTop w:val="0"/>
      <w:marBottom w:val="0"/>
      <w:divBdr>
        <w:top w:val="none" w:sz="0" w:space="0" w:color="auto"/>
        <w:left w:val="none" w:sz="0" w:space="0" w:color="auto"/>
        <w:bottom w:val="none" w:sz="0" w:space="0" w:color="auto"/>
        <w:right w:val="none" w:sz="0" w:space="0" w:color="auto"/>
      </w:divBdr>
    </w:div>
    <w:div w:id="329719769">
      <w:bodyDiv w:val="1"/>
      <w:marLeft w:val="0"/>
      <w:marRight w:val="0"/>
      <w:marTop w:val="0"/>
      <w:marBottom w:val="0"/>
      <w:divBdr>
        <w:top w:val="none" w:sz="0" w:space="0" w:color="auto"/>
        <w:left w:val="none" w:sz="0" w:space="0" w:color="auto"/>
        <w:bottom w:val="none" w:sz="0" w:space="0" w:color="auto"/>
        <w:right w:val="none" w:sz="0" w:space="0" w:color="auto"/>
      </w:divBdr>
    </w:div>
    <w:div w:id="396512308">
      <w:bodyDiv w:val="1"/>
      <w:marLeft w:val="0"/>
      <w:marRight w:val="0"/>
      <w:marTop w:val="0"/>
      <w:marBottom w:val="0"/>
      <w:divBdr>
        <w:top w:val="none" w:sz="0" w:space="0" w:color="auto"/>
        <w:left w:val="none" w:sz="0" w:space="0" w:color="auto"/>
        <w:bottom w:val="none" w:sz="0" w:space="0" w:color="auto"/>
        <w:right w:val="none" w:sz="0" w:space="0" w:color="auto"/>
      </w:divBdr>
    </w:div>
    <w:div w:id="631331902">
      <w:bodyDiv w:val="1"/>
      <w:marLeft w:val="0"/>
      <w:marRight w:val="0"/>
      <w:marTop w:val="0"/>
      <w:marBottom w:val="0"/>
      <w:divBdr>
        <w:top w:val="none" w:sz="0" w:space="0" w:color="auto"/>
        <w:left w:val="none" w:sz="0" w:space="0" w:color="auto"/>
        <w:bottom w:val="none" w:sz="0" w:space="0" w:color="auto"/>
        <w:right w:val="none" w:sz="0" w:space="0" w:color="auto"/>
      </w:divBdr>
    </w:div>
    <w:div w:id="649405003">
      <w:bodyDiv w:val="1"/>
      <w:marLeft w:val="0"/>
      <w:marRight w:val="0"/>
      <w:marTop w:val="0"/>
      <w:marBottom w:val="0"/>
      <w:divBdr>
        <w:top w:val="none" w:sz="0" w:space="0" w:color="auto"/>
        <w:left w:val="none" w:sz="0" w:space="0" w:color="auto"/>
        <w:bottom w:val="none" w:sz="0" w:space="0" w:color="auto"/>
        <w:right w:val="none" w:sz="0" w:space="0" w:color="auto"/>
      </w:divBdr>
    </w:div>
    <w:div w:id="659309840">
      <w:bodyDiv w:val="1"/>
      <w:marLeft w:val="0"/>
      <w:marRight w:val="0"/>
      <w:marTop w:val="0"/>
      <w:marBottom w:val="0"/>
      <w:divBdr>
        <w:top w:val="none" w:sz="0" w:space="0" w:color="auto"/>
        <w:left w:val="none" w:sz="0" w:space="0" w:color="auto"/>
        <w:bottom w:val="none" w:sz="0" w:space="0" w:color="auto"/>
        <w:right w:val="none" w:sz="0" w:space="0" w:color="auto"/>
      </w:divBdr>
    </w:div>
    <w:div w:id="699084913">
      <w:bodyDiv w:val="1"/>
      <w:marLeft w:val="0"/>
      <w:marRight w:val="0"/>
      <w:marTop w:val="0"/>
      <w:marBottom w:val="0"/>
      <w:divBdr>
        <w:top w:val="none" w:sz="0" w:space="0" w:color="auto"/>
        <w:left w:val="none" w:sz="0" w:space="0" w:color="auto"/>
        <w:bottom w:val="none" w:sz="0" w:space="0" w:color="auto"/>
        <w:right w:val="none" w:sz="0" w:space="0" w:color="auto"/>
      </w:divBdr>
    </w:div>
    <w:div w:id="839270689">
      <w:bodyDiv w:val="1"/>
      <w:marLeft w:val="0"/>
      <w:marRight w:val="0"/>
      <w:marTop w:val="0"/>
      <w:marBottom w:val="0"/>
      <w:divBdr>
        <w:top w:val="none" w:sz="0" w:space="0" w:color="auto"/>
        <w:left w:val="none" w:sz="0" w:space="0" w:color="auto"/>
        <w:bottom w:val="none" w:sz="0" w:space="0" w:color="auto"/>
        <w:right w:val="none" w:sz="0" w:space="0" w:color="auto"/>
      </w:divBdr>
    </w:div>
    <w:div w:id="888032648">
      <w:bodyDiv w:val="1"/>
      <w:marLeft w:val="0"/>
      <w:marRight w:val="0"/>
      <w:marTop w:val="0"/>
      <w:marBottom w:val="0"/>
      <w:divBdr>
        <w:top w:val="none" w:sz="0" w:space="0" w:color="auto"/>
        <w:left w:val="none" w:sz="0" w:space="0" w:color="auto"/>
        <w:bottom w:val="none" w:sz="0" w:space="0" w:color="auto"/>
        <w:right w:val="none" w:sz="0" w:space="0" w:color="auto"/>
      </w:divBdr>
    </w:div>
    <w:div w:id="1179463533">
      <w:bodyDiv w:val="1"/>
      <w:marLeft w:val="0"/>
      <w:marRight w:val="0"/>
      <w:marTop w:val="0"/>
      <w:marBottom w:val="0"/>
      <w:divBdr>
        <w:top w:val="none" w:sz="0" w:space="0" w:color="auto"/>
        <w:left w:val="none" w:sz="0" w:space="0" w:color="auto"/>
        <w:bottom w:val="none" w:sz="0" w:space="0" w:color="auto"/>
        <w:right w:val="none" w:sz="0" w:space="0" w:color="auto"/>
      </w:divBdr>
    </w:div>
    <w:div w:id="1395467808">
      <w:bodyDiv w:val="1"/>
      <w:marLeft w:val="0"/>
      <w:marRight w:val="0"/>
      <w:marTop w:val="0"/>
      <w:marBottom w:val="0"/>
      <w:divBdr>
        <w:top w:val="none" w:sz="0" w:space="0" w:color="auto"/>
        <w:left w:val="none" w:sz="0" w:space="0" w:color="auto"/>
        <w:bottom w:val="none" w:sz="0" w:space="0" w:color="auto"/>
        <w:right w:val="none" w:sz="0" w:space="0" w:color="auto"/>
      </w:divBdr>
    </w:div>
    <w:div w:id="1468402244">
      <w:bodyDiv w:val="1"/>
      <w:marLeft w:val="0"/>
      <w:marRight w:val="0"/>
      <w:marTop w:val="0"/>
      <w:marBottom w:val="0"/>
      <w:divBdr>
        <w:top w:val="none" w:sz="0" w:space="0" w:color="auto"/>
        <w:left w:val="none" w:sz="0" w:space="0" w:color="auto"/>
        <w:bottom w:val="none" w:sz="0" w:space="0" w:color="auto"/>
        <w:right w:val="none" w:sz="0" w:space="0" w:color="auto"/>
      </w:divBdr>
    </w:div>
    <w:div w:id="1495950751">
      <w:bodyDiv w:val="1"/>
      <w:marLeft w:val="0"/>
      <w:marRight w:val="0"/>
      <w:marTop w:val="0"/>
      <w:marBottom w:val="0"/>
      <w:divBdr>
        <w:top w:val="none" w:sz="0" w:space="0" w:color="auto"/>
        <w:left w:val="none" w:sz="0" w:space="0" w:color="auto"/>
        <w:bottom w:val="none" w:sz="0" w:space="0" w:color="auto"/>
        <w:right w:val="none" w:sz="0" w:space="0" w:color="auto"/>
      </w:divBdr>
    </w:div>
    <w:div w:id="1687100967">
      <w:bodyDiv w:val="1"/>
      <w:marLeft w:val="0"/>
      <w:marRight w:val="0"/>
      <w:marTop w:val="0"/>
      <w:marBottom w:val="0"/>
      <w:divBdr>
        <w:top w:val="none" w:sz="0" w:space="0" w:color="auto"/>
        <w:left w:val="none" w:sz="0" w:space="0" w:color="auto"/>
        <w:bottom w:val="none" w:sz="0" w:space="0" w:color="auto"/>
        <w:right w:val="none" w:sz="0" w:space="0" w:color="auto"/>
      </w:divBdr>
    </w:div>
    <w:div w:id="1830511121">
      <w:bodyDiv w:val="1"/>
      <w:marLeft w:val="0"/>
      <w:marRight w:val="0"/>
      <w:marTop w:val="0"/>
      <w:marBottom w:val="0"/>
      <w:divBdr>
        <w:top w:val="none" w:sz="0" w:space="0" w:color="auto"/>
        <w:left w:val="none" w:sz="0" w:space="0" w:color="auto"/>
        <w:bottom w:val="none" w:sz="0" w:space="0" w:color="auto"/>
        <w:right w:val="none" w:sz="0" w:space="0" w:color="auto"/>
      </w:divBdr>
    </w:div>
    <w:div w:id="1981298653">
      <w:bodyDiv w:val="1"/>
      <w:marLeft w:val="0"/>
      <w:marRight w:val="0"/>
      <w:marTop w:val="0"/>
      <w:marBottom w:val="0"/>
      <w:divBdr>
        <w:top w:val="none" w:sz="0" w:space="0" w:color="auto"/>
        <w:left w:val="none" w:sz="0" w:space="0" w:color="auto"/>
        <w:bottom w:val="none" w:sz="0" w:space="0" w:color="auto"/>
        <w:right w:val="none" w:sz="0" w:space="0" w:color="auto"/>
      </w:divBdr>
    </w:div>
    <w:div w:id="2004234347">
      <w:bodyDiv w:val="1"/>
      <w:marLeft w:val="0"/>
      <w:marRight w:val="0"/>
      <w:marTop w:val="0"/>
      <w:marBottom w:val="0"/>
      <w:divBdr>
        <w:top w:val="none" w:sz="0" w:space="0" w:color="auto"/>
        <w:left w:val="none" w:sz="0" w:space="0" w:color="auto"/>
        <w:bottom w:val="none" w:sz="0" w:space="0" w:color="auto"/>
        <w:right w:val="none" w:sz="0" w:space="0" w:color="auto"/>
      </w:divBdr>
    </w:div>
    <w:div w:id="2028557990">
      <w:bodyDiv w:val="1"/>
      <w:marLeft w:val="0"/>
      <w:marRight w:val="0"/>
      <w:marTop w:val="0"/>
      <w:marBottom w:val="0"/>
      <w:divBdr>
        <w:top w:val="none" w:sz="0" w:space="0" w:color="auto"/>
        <w:left w:val="none" w:sz="0" w:space="0" w:color="auto"/>
        <w:bottom w:val="none" w:sz="0" w:space="0" w:color="auto"/>
        <w:right w:val="none" w:sz="0" w:space="0" w:color="auto"/>
      </w:divBdr>
    </w:div>
    <w:div w:id="20307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jgonzalezc2@dian.gov.co" TargetMode="External"/><Relationship Id="rId11" Type="http://schemas.openxmlformats.org/officeDocument/2006/relationships/hyperlink" Target="mailto:jgomezr@dian.gov.co" TargetMode="External"/><Relationship Id="rId12" Type="http://schemas.openxmlformats.org/officeDocument/2006/relationships/hyperlink" Target="mailto:mrestrepor2@dian.gov.co" TargetMode="External"/><Relationship Id="rId13" Type="http://schemas.openxmlformats.org/officeDocument/2006/relationships/hyperlink" Target="mailto:yherreras@dian.gov.co" TargetMode="External"/><Relationship Id="rId14" Type="http://schemas.openxmlformats.org/officeDocument/2006/relationships/hyperlink" Target="http://secretariasenado.gov.co/senado/basedoc/estatuto_tributario_pr036.html" TargetMode="External"/><Relationship Id="rId15" Type="http://schemas.openxmlformats.org/officeDocument/2006/relationships/hyperlink" Target="http://secretariasenado.gov.co/senado/basedoc/ley_0006_1992_pr003.html" TargetMode="External"/><Relationship Id="rId16" Type="http://schemas.openxmlformats.org/officeDocument/2006/relationships/hyperlink" Target="http://www.secretariasenado.gov.co/senado/basedoc/ley_1437_2011_pr001.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11A06BB91B39459FAA5C4B933B57A3" ma:contentTypeVersion="6" ma:contentTypeDescription="Crear nuevo documento." ma:contentTypeScope="" ma:versionID="b3edcc9be8362c30c5ba987f502c1bf9">
  <xsd:schema xmlns:xsd="http://www.w3.org/2001/XMLSchema" xmlns:xs="http://www.w3.org/2001/XMLSchema" xmlns:p="http://schemas.microsoft.com/office/2006/metadata/properties" xmlns:ns2="894b2a2d-082a-4704-ae49-8d3f23abefc4" xmlns:ns3="a8339213-6f5d-42db-9c26-b79065184bab" targetNamespace="http://schemas.microsoft.com/office/2006/metadata/properties" ma:root="true" ma:fieldsID="350809950a6fddd8754dc8c4fb2a36c3" ns2:_="" ns3:_="">
    <xsd:import namespace="894b2a2d-082a-4704-ae49-8d3f23abefc4"/>
    <xsd:import namespace="a8339213-6f5d-42db-9c26-b79065184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2a2d-082a-4704-ae49-8d3f23abefc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39213-6f5d-42db-9c26-b79065184b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E8D-614F-4164-AD90-D102A6EF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2a2d-082a-4704-ae49-8d3f23abefc4"/>
    <ds:schemaRef ds:uri="a8339213-6f5d-42db-9c26-b79065184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27D2-A867-4ECC-B382-2193A50D5C1D}">
  <ds:schemaRefs>
    <ds:schemaRef ds:uri="http://schemas.microsoft.com/sharepoint/v3/contenttype/forms"/>
  </ds:schemaRefs>
</ds:datastoreItem>
</file>

<file path=customXml/itemProps3.xml><?xml version="1.0" encoding="utf-8"?>
<ds:datastoreItem xmlns:ds="http://schemas.openxmlformats.org/officeDocument/2006/customXml" ds:itemID="{DEDD83ED-EF4A-3B4A-8070-5909049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2112</Words>
  <Characters>11620</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DIAN</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Cristian Andres Ceballos Acosta</cp:lastModifiedBy>
  <cp:revision>2</cp:revision>
  <cp:lastPrinted>2012-03-30T22:28:00Z</cp:lastPrinted>
  <dcterms:created xsi:type="dcterms:W3CDTF">2022-05-06T21:04:00Z</dcterms:created>
  <dcterms:modified xsi:type="dcterms:W3CDTF">2022-05-06T21:04:00Z</dcterms:modified>
</cp:coreProperties>
</file>